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57" w:rsidRDefault="002D1C76" w:rsidP="00B274E7">
      <w:pPr>
        <w:overflowPunct w:val="0"/>
        <w:spacing w:after="0" w:line="360" w:lineRule="auto"/>
        <w:rPr>
          <w:rFonts w:ascii="Arial Narrow" w:eastAsia="Times New Roman" w:hAnsi="Arial Narrow" w:cs="Arial"/>
          <w:b/>
          <w:caps/>
          <w:lang w:eastAsia="ru-RU"/>
        </w:rPr>
      </w:pPr>
      <w:r w:rsidRPr="00B274E7">
        <w:rPr>
          <w:rFonts w:ascii="Arial Narrow" w:eastAsia="Times New Roman" w:hAnsi="Arial Narrow" w:cs="Arial"/>
          <w:b/>
          <w:caps/>
          <w:lang w:eastAsia="ru-RU"/>
        </w:rPr>
        <w:t>ИНСТРУКЦИЯ</w:t>
      </w:r>
      <w:r w:rsidR="00B274E7">
        <w:rPr>
          <w:rFonts w:ascii="Arial Narrow" w:eastAsia="Times New Roman" w:hAnsi="Arial Narrow" w:cs="Arial"/>
          <w:b/>
          <w:caps/>
          <w:lang w:eastAsia="ru-RU"/>
        </w:rPr>
        <w:t xml:space="preserve"> </w:t>
      </w:r>
      <w:r w:rsidRPr="00B274E7">
        <w:rPr>
          <w:rFonts w:ascii="Arial Narrow" w:eastAsia="Times New Roman" w:hAnsi="Arial Narrow" w:cs="Arial"/>
          <w:b/>
          <w:caps/>
          <w:lang w:eastAsia="ru-RU"/>
        </w:rPr>
        <w:t>по проектированию, монтажу и приемке в эксплуатацию</w:t>
      </w:r>
      <w:r w:rsidR="00B274E7" w:rsidRPr="00B274E7">
        <w:rPr>
          <w:rFonts w:ascii="Arial Narrow" w:eastAsia="Times New Roman" w:hAnsi="Arial Narrow" w:cs="Arial"/>
          <w:b/>
          <w:caps/>
          <w:lang w:eastAsia="ru-RU"/>
        </w:rPr>
        <w:t xml:space="preserve"> </w:t>
      </w:r>
    </w:p>
    <w:p w:rsidR="002D1C76" w:rsidRPr="00B274E7" w:rsidRDefault="002D1C76" w:rsidP="00B274E7">
      <w:pPr>
        <w:overflowPunct w:val="0"/>
        <w:spacing w:after="0" w:line="360" w:lineRule="auto"/>
        <w:rPr>
          <w:rFonts w:ascii="Arial Narrow" w:eastAsia="Times New Roman" w:hAnsi="Arial Narrow" w:cs="Arial"/>
          <w:b/>
          <w:caps/>
          <w:lang w:eastAsia="ru-RU"/>
        </w:rPr>
      </w:pPr>
      <w:r w:rsidRPr="00B274E7">
        <w:rPr>
          <w:rFonts w:ascii="Arial Narrow" w:eastAsia="Times New Roman" w:hAnsi="Arial Narrow" w:cs="Arial"/>
          <w:b/>
          <w:caps/>
          <w:lang w:eastAsia="ru-RU"/>
        </w:rPr>
        <w:t>охранно-защитных дератизационных систем (ОЗДС)</w:t>
      </w:r>
    </w:p>
    <w:p w:rsidR="002D1C76" w:rsidRPr="00B274E7" w:rsidRDefault="002D1C76" w:rsidP="00B274E7">
      <w:pPr>
        <w:spacing w:after="0" w:line="360" w:lineRule="auto"/>
        <w:outlineLvl w:val="0"/>
        <w:rPr>
          <w:rFonts w:ascii="Arial Narrow" w:eastAsia="Times New Roman" w:hAnsi="Arial Narrow" w:cs="Arial"/>
          <w:b/>
          <w:bCs/>
          <w:kern w:val="36"/>
          <w:lang w:eastAsia="ru-RU"/>
        </w:rPr>
      </w:pPr>
      <w:r w:rsidRPr="00B274E7">
        <w:rPr>
          <w:rFonts w:ascii="Arial Narrow" w:eastAsia="Times New Roman" w:hAnsi="Arial Narrow" w:cs="Arial"/>
          <w:b/>
          <w:bCs/>
          <w:kern w:val="36"/>
          <w:lang w:eastAsia="ru-RU"/>
        </w:rPr>
        <w:t>РМ-2776</w:t>
      </w:r>
      <w:r w:rsidR="00B274E7" w:rsidRPr="00B274E7">
        <w:rPr>
          <w:rFonts w:ascii="Arial Narrow" w:eastAsia="Times New Roman" w:hAnsi="Arial Narrow" w:cs="Arial"/>
          <w:b/>
          <w:bCs/>
          <w:kern w:val="36"/>
          <w:lang w:eastAsia="ru-RU"/>
        </w:rPr>
        <w:t xml:space="preserve"> (</w:t>
      </w:r>
      <w:r w:rsidR="00B274E7">
        <w:rPr>
          <w:rFonts w:ascii="Arial Narrow" w:eastAsia="Times New Roman" w:hAnsi="Arial Narrow" w:cs="Arial"/>
          <w:b/>
          <w:bCs/>
          <w:kern w:val="36"/>
          <w:lang w:eastAsia="ru-RU"/>
        </w:rPr>
        <w:t>официальное издание</w:t>
      </w:r>
      <w:r w:rsidR="00B274E7" w:rsidRPr="00B274E7">
        <w:rPr>
          <w:rFonts w:ascii="Arial Narrow" w:eastAsia="Times New Roman" w:hAnsi="Arial Narrow" w:cs="Arial"/>
          <w:b/>
          <w:bCs/>
          <w:kern w:val="36"/>
          <w:lang w:eastAsia="ru-RU"/>
        </w:rPr>
        <w:t>)</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spacing w:after="0" w:line="360" w:lineRule="auto"/>
        <w:outlineLvl w:val="2"/>
        <w:rPr>
          <w:rFonts w:ascii="Arial Narrow" w:eastAsia="Times New Roman" w:hAnsi="Arial Narrow" w:cs="Arial"/>
          <w:b/>
          <w:bCs/>
          <w:lang w:eastAsia="ru-RU"/>
        </w:rPr>
      </w:pPr>
      <w:r w:rsidRPr="00B274E7">
        <w:rPr>
          <w:rFonts w:ascii="Arial Narrow" w:eastAsia="Times New Roman" w:hAnsi="Arial Narrow" w:cs="Arial"/>
          <w:b/>
          <w:bCs/>
          <w:lang w:eastAsia="ru-RU"/>
        </w:rPr>
        <w:t xml:space="preserve">Дата введения 2000-05-16 </w:t>
      </w:r>
    </w:p>
    <w:p w:rsidR="00B274E7" w:rsidRPr="00B274E7" w:rsidRDefault="00B274E7"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ПРАВИТЕЛЬСТВО МОСКВЫ</w:t>
      </w:r>
    </w:p>
    <w:p w:rsidR="00B274E7" w:rsidRPr="00B274E7" w:rsidRDefault="00B274E7"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B274E7" w:rsidRPr="00B274E7" w:rsidRDefault="00B274E7"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МОСКОМАРХИТЕКТУРА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Предисловие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 РАЗРАБОТАНА Московским научно-исследовательским и проектным институтом типологии, экспериментального проектирования (МНИИТЭП).</w:t>
      </w:r>
    </w:p>
    <w:p w:rsidR="002D1C76" w:rsidRPr="00B274E7" w:rsidRDefault="003A408A"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r w:rsidR="002D1C76"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 ПОДГОТОВЛЕНА К УТВЕРЖДЕНИЮ и изданию Управлением перспективного проектирования и нормативов Москомархитектуры: инженеры: Ионин В.А., </w:t>
      </w:r>
      <w:proofErr w:type="spellStart"/>
      <w:r w:rsidRPr="00B274E7">
        <w:rPr>
          <w:rFonts w:ascii="Arial Narrow" w:eastAsia="Times New Roman" w:hAnsi="Arial Narrow" w:cs="Arial"/>
          <w:lang w:eastAsia="ru-RU"/>
        </w:rPr>
        <w:t>Щипанов</w:t>
      </w:r>
      <w:proofErr w:type="spellEnd"/>
      <w:r w:rsidRPr="00B274E7">
        <w:rPr>
          <w:rFonts w:ascii="Arial Narrow" w:eastAsia="Times New Roman" w:hAnsi="Arial Narrow" w:cs="Arial"/>
          <w:lang w:eastAsia="ru-RU"/>
        </w:rPr>
        <w:t xml:space="preserve"> Ю.Б.</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 СОГЛАСОВАНА Центром Государственного санитарно-эпидемиологического надзора (ЦГСЭН) в г. Москве.</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4. УТВЕРЖДЕНА И ВВЕДЕНА В ДЕЙСТВИЕ с 16.05.2000 г. указанием Москомархитектуры от 16.05.2000 г. N 20</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5. РАЗРАБОТАНА ВПЕРВЫЕ</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6. Предназначена для использования проектными, монтажными, эксплуатирующими и надзорными организациями.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Введение</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Несмотря на проводимые мероприятия в Москве сложилась нетерпимая обстановка по заселенности грызунами (крысы, мыши) офисных, производственных и складских помещений, подземных коммуникаций, дошкольных и общеобразовательных учреждений, пищевых объектов и жилых зданий, что может привести к осложнению эпидемиологической обстановки по ряду особо опасных инфекционных заболеваний, таких как геморрагическая лихорадка с почечным синдромом, туляремия, лептоспироз, </w:t>
      </w:r>
      <w:proofErr w:type="spellStart"/>
      <w:r w:rsidRPr="00B274E7">
        <w:rPr>
          <w:rFonts w:ascii="Arial Narrow" w:eastAsia="Times New Roman" w:hAnsi="Arial Narrow" w:cs="Arial"/>
          <w:lang w:eastAsia="ru-RU"/>
        </w:rPr>
        <w:t>листериоз</w:t>
      </w:r>
      <w:proofErr w:type="spellEnd"/>
      <w:r w:rsidRPr="00B274E7">
        <w:rPr>
          <w:rFonts w:ascii="Arial Narrow" w:eastAsia="Times New Roman" w:hAnsi="Arial Narrow" w:cs="Arial"/>
          <w:lang w:eastAsia="ru-RU"/>
        </w:rPr>
        <w:t>, псевдотуберкулез и др.</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Традиционные способы борьбы с грызунами не дают необходимого эффекта. На отдельных объектах, таких как дошкольные и общеобразовательные учреждения, объекты переработки и реализации пищевой продукции и т.д. применение ядохимикатов противопоказано. В случае применения ядохимикатов разлагающийся в труднодоступном месте труп грызуна в свою очередь становится дополнительным источником инфекции.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В рамках конверсионных программ, разработанных и реализованных с участием Правительства Москвы, специалистами оборонных отраслей промышленности разработана </w:t>
      </w:r>
      <w:hyperlink r:id="rId4" w:history="1">
        <w:r w:rsidRPr="002C2757">
          <w:rPr>
            <w:rStyle w:val="a5"/>
            <w:rFonts w:ascii="Arial Narrow" w:eastAsia="Times New Roman" w:hAnsi="Arial Narrow" w:cs="Arial"/>
            <w:lang w:eastAsia="ru-RU"/>
          </w:rPr>
          <w:t>охранно-защитная дератизационная система (ОЗДС)</w:t>
        </w:r>
      </w:hyperlink>
      <w:r w:rsidRPr="00B274E7">
        <w:rPr>
          <w:rFonts w:ascii="Arial Narrow" w:eastAsia="Times New Roman" w:hAnsi="Arial Narrow" w:cs="Arial"/>
          <w:lang w:eastAsia="ru-RU"/>
        </w:rPr>
        <w:t>, основанная на принципе воздействия на грызунов высоковольтными импульсами электрического тока. Предусмотренный системой способ воздействия на грызунов вызывает у них устойчивую рефлекторную реакцию отказа от попыток проникновения на охраняемый объект. В экологическом отношении воздействие ОЗДС безопасно, так как не уничтожает грызунов, а только препятствует их нормальной жизнедеятельности в местах традиционного обитания. Следствием этого является резкое снижение численности грызунов за счет сокращения кормовой базы и мест, привычных для обитания. ОЗДС имеет длительный срок службы и незначительные эксплуатационные расходы. Безопасность ОЗДС для людей, домашних животных и окружающей среды подтверждена сертификатами (паспортами) систем ГОСТ Р, Госсанэпиднадзора, МВД. Эффективность системы подтверждена практикой эксплуатации на ряде объектов: жилые здания, служебные и складские помещения.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В целях кардинального сокращения численности грызунов на территории города и предупреждения осложнения эпидемиологической обстановки, правительством Москвы принято Постановление от 27 апреля 1999 года N 379 "Об оснащении объектов города охранно-защитными дератизационными системами".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1. Общие положения</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1.1. Настоящая инструкция действует на территории г. Москвы и распространяется на проектирование, монтаж и приемку в эксплуатацию всех типов ОЗДС, создаваемых на основе устройств, включенных в "Перечень устройств, разрешенных к применению в охранно-защитных дератизационных системах на вновь строящихся, реконструируемых и существующих объектах г. Москвы", утвержденный Главным государственным санитарным врачом г. Москвы (Приложение 7</w:t>
      </w:r>
      <w:r w:rsidR="00D719C5">
        <w:rPr>
          <w:rFonts w:ascii="Arial Narrow" w:eastAsia="Times New Roman" w:hAnsi="Arial Narrow" w:cs="Arial"/>
          <w:lang w:eastAsia="ru-RU"/>
        </w:rPr>
        <w:t>*</w:t>
      </w:r>
      <w:r w:rsidRPr="00B274E7">
        <w:rPr>
          <w:rFonts w:ascii="Arial Narrow" w:eastAsia="Times New Roman" w:hAnsi="Arial Narrow" w:cs="Arial"/>
          <w:lang w:eastAsia="ru-RU"/>
        </w:rPr>
        <w:t>).</w:t>
      </w:r>
    </w:p>
    <w:p w:rsidR="002D1C76"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r w:rsidR="00D719C5">
        <w:rPr>
          <w:rFonts w:ascii="Arial Narrow" w:eastAsia="Times New Roman" w:hAnsi="Arial Narrow" w:cs="Arial"/>
          <w:lang w:eastAsia="ru-RU"/>
        </w:rPr>
        <w:t>* приложение утратило силу</w:t>
      </w:r>
    </w:p>
    <w:p w:rsidR="00D719C5" w:rsidRPr="00B274E7" w:rsidRDefault="00D719C5" w:rsidP="00B274E7">
      <w:pPr>
        <w:overflowPunct w:val="0"/>
        <w:spacing w:after="0" w:line="360" w:lineRule="auto"/>
        <w:ind w:firstLine="336"/>
        <w:rPr>
          <w:rFonts w:ascii="Arial Narrow" w:eastAsia="Times New Roman" w:hAnsi="Arial Narrow" w:cs="Arial"/>
          <w:lang w:eastAsia="ru-RU"/>
        </w:rPr>
      </w:pP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1.2. Под ОЗДС понимается комплекс специальной электротехнической аппаратуры, предназначенной для осуществления инженерно-технических мероприятий по защите от грызунов зданий, помещений, коммуникаций и т.п., именуемых </w:t>
      </w:r>
      <w:r w:rsidR="00B274E7" w:rsidRPr="00B274E7">
        <w:rPr>
          <w:rFonts w:ascii="Arial Narrow" w:eastAsia="Times New Roman" w:hAnsi="Arial Narrow" w:cs="Arial"/>
          <w:lang w:eastAsia="ru-RU"/>
        </w:rPr>
        <w:t>далее,</w:t>
      </w:r>
      <w:r w:rsidRPr="00B274E7">
        <w:rPr>
          <w:rFonts w:ascii="Arial Narrow" w:eastAsia="Times New Roman" w:hAnsi="Arial Narrow" w:cs="Arial"/>
          <w:lang w:eastAsia="ru-RU"/>
        </w:rPr>
        <w:t xml:space="preserve"> как объекты (Приложение 8).</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hyperlink r:id="rId5" w:tgtFrame="_self" w:history="1">
        <w:r w:rsidRPr="00B274E7">
          <w:rPr>
            <w:rFonts w:ascii="Arial Narrow" w:eastAsia="Times New Roman" w:hAnsi="Arial Narrow" w:cs="Arial"/>
            <w:lang w:eastAsia="ru-RU"/>
          </w:rPr>
          <w:t> </w:t>
        </w:r>
      </w:hyperlink>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1.3. Инструкция обязательна для применения всеми предприятиями и организациями, предпринимателями без образования юридического лица и частными лицами (включая совместные </w:t>
      </w:r>
      <w:r w:rsidRPr="00B274E7">
        <w:rPr>
          <w:rFonts w:ascii="Arial Narrow" w:eastAsia="Times New Roman" w:hAnsi="Arial Narrow" w:cs="Arial"/>
          <w:lang w:eastAsia="ru-RU"/>
        </w:rPr>
        <w:lastRenderedPageBreak/>
        <w:t xml:space="preserve">предприятия с участием иностранных партнеров, иностранных юридических и физических лиц), осуществляющими проектирование, строительство, ремонт, реконструкцию и эксплуатацию в г. Москве жилых, общественных, торговых, складских, промышленных и других </w:t>
      </w:r>
      <w:proofErr w:type="spellStart"/>
      <w:r w:rsidRPr="00B274E7">
        <w:rPr>
          <w:rFonts w:ascii="Arial Narrow" w:eastAsia="Times New Roman" w:hAnsi="Arial Narrow" w:cs="Arial"/>
          <w:lang w:eastAsia="ru-RU"/>
        </w:rPr>
        <w:t>эпидемиологически</w:t>
      </w:r>
      <w:proofErr w:type="spellEnd"/>
      <w:r w:rsidRPr="00B274E7">
        <w:rPr>
          <w:rFonts w:ascii="Arial Narrow" w:eastAsia="Times New Roman" w:hAnsi="Arial Narrow" w:cs="Arial"/>
          <w:lang w:eastAsia="ru-RU"/>
        </w:rPr>
        <w:t xml:space="preserve"> значимых объектов.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1.4. Инструкция не распространяется на проектирование ОЗДС во взрывоопасных помещениях, в которых дератизация выполняется другими способами.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1.5. Невыполнение, либо ненадлежащее выполнение требований настоящей Инструкции влечет за собой административную и иную ответственность в соответствии с действующим законодательством.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1.6. Проектирование и монтаж ОЗДС должны осуществляться организациями, имеющими необходимую квалификацию и получившими специальное разрешение ЦГСЭН в г.Москве для выполнения указанных работ (Приложения 10, 11, 12</w:t>
      </w:r>
      <w:r w:rsidR="00D719C5">
        <w:rPr>
          <w:rFonts w:ascii="Arial Narrow" w:eastAsia="Times New Roman" w:hAnsi="Arial Narrow" w:cs="Arial"/>
          <w:lang w:eastAsia="ru-RU"/>
        </w:rPr>
        <w:t>*</w:t>
      </w:r>
      <w:r w:rsidRPr="00B274E7">
        <w:rPr>
          <w:rFonts w:ascii="Arial Narrow" w:eastAsia="Times New Roman" w:hAnsi="Arial Narrow" w:cs="Arial"/>
          <w:lang w:eastAsia="ru-RU"/>
        </w:rPr>
        <w:t>).</w:t>
      </w:r>
    </w:p>
    <w:p w:rsidR="002D1C76"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r w:rsidR="00D719C5">
        <w:rPr>
          <w:rFonts w:ascii="Arial Narrow" w:eastAsia="Times New Roman" w:hAnsi="Arial Narrow" w:cs="Arial"/>
          <w:lang w:eastAsia="ru-RU"/>
        </w:rPr>
        <w:t>* приложения утратили силу</w:t>
      </w:r>
    </w:p>
    <w:p w:rsidR="00D719C5" w:rsidRPr="00B274E7" w:rsidRDefault="00D719C5" w:rsidP="00B274E7">
      <w:pPr>
        <w:overflowPunct w:val="0"/>
        <w:spacing w:after="0" w:line="360" w:lineRule="auto"/>
        <w:ind w:firstLine="336"/>
        <w:rPr>
          <w:rFonts w:ascii="Arial Narrow" w:eastAsia="Times New Roman" w:hAnsi="Arial Narrow" w:cs="Arial"/>
          <w:lang w:eastAsia="ru-RU"/>
        </w:rPr>
      </w:pP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1.7. Перечень нормативных документов, связанных с применением ОЗДС, приведен в Приложении 6.</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1.8. ОЗДС может применяться, как взамен, так и совместно с иными (химическими, биологическими и др.) средствами дератизации.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1.9. Не допускается строительство объектов, не имеющих в проекте раздела ОЗДС. Под строительством понимается также реконструкция, ремонт, переоборудование и т.п.</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2. Проектирование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 Оснащение ОЗДС объектов должно предусматриваться проектом (ТЭО, проект, рабочий проект, рабочая документация - любая утверждаемая стадия) строительства.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2.2. Размещение ОЗДС производится, как правило, в цокольных и подвальных помещениях здания.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2.3. Места размещения </w:t>
      </w:r>
      <w:proofErr w:type="gramStart"/>
      <w:r w:rsidRPr="00B274E7">
        <w:rPr>
          <w:rFonts w:ascii="Arial Narrow" w:eastAsia="Times New Roman" w:hAnsi="Arial Narrow" w:cs="Arial"/>
          <w:lang w:eastAsia="ru-RU"/>
        </w:rPr>
        <w:t>барьеров</w:t>
      </w:r>
      <w:proofErr w:type="gramEnd"/>
      <w:r w:rsidRPr="00B274E7">
        <w:rPr>
          <w:rFonts w:ascii="Arial Narrow" w:eastAsia="Times New Roman" w:hAnsi="Arial Narrow" w:cs="Arial"/>
          <w:lang w:eastAsia="ru-RU"/>
        </w:rPr>
        <w:t xml:space="preserve"> электризуемых (БЭ) ОЗДС (Приложение 9) должны выбираться с учетом следующих факторов: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обеспечения минимальной вероятности физического воздействия на человека;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блокирования подходов грызунов к местам расположения кормовой базы;</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локализации возможных мест гнездования;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перекрытия путей перемещения грызунов между кормовой базой и местами гнездования.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2.4. До начала проектирования ОЗДС должно быть произведено обследование объекта группой специалистов в составе:</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представитель заказчика;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представителей проектной организации, имеющей специальное разрешение от ЦГСЭН</w:t>
      </w:r>
      <w:r w:rsidR="00D719C5">
        <w:rPr>
          <w:rFonts w:ascii="Arial Narrow" w:eastAsia="Times New Roman" w:hAnsi="Arial Narrow" w:cs="Arial"/>
          <w:lang w:eastAsia="ru-RU"/>
        </w:rPr>
        <w:t>*</w:t>
      </w:r>
      <w:r w:rsidRPr="00B274E7">
        <w:rPr>
          <w:rFonts w:ascii="Arial Narrow" w:eastAsia="Times New Roman" w:hAnsi="Arial Narrow" w:cs="Arial"/>
          <w:lang w:eastAsia="ru-RU"/>
        </w:rPr>
        <w:t xml:space="preserve"> в лице главного инженера или технолога и дератизатора, специализирующегося в области электрических способов борьбы с грызунами (далее по тексту - дератизатор).</w:t>
      </w:r>
    </w:p>
    <w:p w:rsidR="002D1C76"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r w:rsidR="00D719C5">
        <w:rPr>
          <w:rFonts w:ascii="Arial Narrow" w:eastAsia="Times New Roman" w:hAnsi="Arial Narrow" w:cs="Arial"/>
          <w:lang w:eastAsia="ru-RU"/>
        </w:rPr>
        <w:t>* утратило силу в части «</w:t>
      </w:r>
      <w:r w:rsidR="00D719C5" w:rsidRPr="00B274E7">
        <w:rPr>
          <w:rFonts w:ascii="Arial Narrow" w:eastAsia="Times New Roman" w:hAnsi="Arial Narrow" w:cs="Arial"/>
          <w:lang w:eastAsia="ru-RU"/>
        </w:rPr>
        <w:t>имеющей специальное разрешение от ЦГСЭН</w:t>
      </w:r>
      <w:r w:rsidR="00D719C5">
        <w:rPr>
          <w:rFonts w:ascii="Arial Narrow" w:eastAsia="Times New Roman" w:hAnsi="Arial Narrow" w:cs="Arial"/>
          <w:lang w:eastAsia="ru-RU"/>
        </w:rPr>
        <w:t>»</w:t>
      </w:r>
    </w:p>
    <w:p w:rsidR="00D719C5" w:rsidRPr="00B274E7" w:rsidRDefault="00D719C5" w:rsidP="00B274E7">
      <w:pPr>
        <w:overflowPunct w:val="0"/>
        <w:spacing w:after="0" w:line="360" w:lineRule="auto"/>
        <w:ind w:firstLine="336"/>
        <w:rPr>
          <w:rFonts w:ascii="Arial Narrow" w:eastAsia="Times New Roman" w:hAnsi="Arial Narrow" w:cs="Arial"/>
          <w:lang w:eastAsia="ru-RU"/>
        </w:rPr>
      </w:pP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2.5. По результатам изучения проектной документации и обследования объекта должен быть составлен акт </w:t>
      </w:r>
      <w:proofErr w:type="spellStart"/>
      <w:r w:rsidRPr="00B274E7">
        <w:rPr>
          <w:rFonts w:ascii="Arial Narrow" w:eastAsia="Times New Roman" w:hAnsi="Arial Narrow" w:cs="Arial"/>
          <w:lang w:eastAsia="ru-RU"/>
        </w:rPr>
        <w:t>предпроектного</w:t>
      </w:r>
      <w:proofErr w:type="spellEnd"/>
      <w:r w:rsidRPr="00B274E7">
        <w:rPr>
          <w:rFonts w:ascii="Arial Narrow" w:eastAsia="Times New Roman" w:hAnsi="Arial Narrow" w:cs="Arial"/>
          <w:lang w:eastAsia="ru-RU"/>
        </w:rPr>
        <w:t xml:space="preserve"> обследования (Приложение 1).</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В акте </w:t>
      </w:r>
      <w:proofErr w:type="spellStart"/>
      <w:r w:rsidRPr="00B274E7">
        <w:rPr>
          <w:rFonts w:ascii="Arial Narrow" w:eastAsia="Times New Roman" w:hAnsi="Arial Narrow" w:cs="Arial"/>
          <w:lang w:eastAsia="ru-RU"/>
        </w:rPr>
        <w:t>предпроектного</w:t>
      </w:r>
      <w:proofErr w:type="spellEnd"/>
      <w:r w:rsidRPr="00B274E7">
        <w:rPr>
          <w:rFonts w:ascii="Arial Narrow" w:eastAsia="Times New Roman" w:hAnsi="Arial Narrow" w:cs="Arial"/>
          <w:lang w:eastAsia="ru-RU"/>
        </w:rPr>
        <w:t xml:space="preserve"> обследования должны быть приведены сведения: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о наличии или отсутствии в обследуемых помещениях газопроводов или трубопроводов для транспортировки продуктов, которые при аварии могут образовывать взрывоопасную смесь;</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о наиболее рациональных решениях по размещению элементов ОЗДС, в первую очередь, БЭ, и по прокладке линий питания ОЗДС с учетом архитектурно-технических особенностей объекта и условий его эксплуатации;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о местах, где защита от проникновения грызунов должна осуществляться иными способами, например, путем установки мелкоячеистых (размер ячейки 10х10 мм) металлических сеток.</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2.6. Акт </w:t>
      </w:r>
      <w:proofErr w:type="spellStart"/>
      <w:r w:rsidRPr="00B274E7">
        <w:rPr>
          <w:rFonts w:ascii="Arial Narrow" w:eastAsia="Times New Roman" w:hAnsi="Arial Narrow" w:cs="Arial"/>
          <w:lang w:eastAsia="ru-RU"/>
        </w:rPr>
        <w:t>предпроектного</w:t>
      </w:r>
      <w:proofErr w:type="spellEnd"/>
      <w:r w:rsidRPr="00B274E7">
        <w:rPr>
          <w:rFonts w:ascii="Arial Narrow" w:eastAsia="Times New Roman" w:hAnsi="Arial Narrow" w:cs="Arial"/>
          <w:lang w:eastAsia="ru-RU"/>
        </w:rPr>
        <w:t xml:space="preserve"> обследования служит заданием для разработки раздела ОЗДС для всех вновь разрабатываемых проектов зданий и сооружений.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2.7. Допускается по согласованию с заказчиками на объектах нетипового строительства или там, где невозможно осуществить обследование объекта до начала проектирования ОЗДС, вести разработку ПСД по укрупненным показателям на базе уже имеющихся данных, полученных при проектировании и строительстве подобных объектов с последующим уточнением по результатам </w:t>
      </w:r>
      <w:proofErr w:type="spellStart"/>
      <w:r w:rsidRPr="00B274E7">
        <w:rPr>
          <w:rFonts w:ascii="Arial Narrow" w:eastAsia="Times New Roman" w:hAnsi="Arial Narrow" w:cs="Arial"/>
          <w:lang w:eastAsia="ru-RU"/>
        </w:rPr>
        <w:t>предмонтажного</w:t>
      </w:r>
      <w:proofErr w:type="spellEnd"/>
      <w:r w:rsidRPr="00B274E7">
        <w:rPr>
          <w:rFonts w:ascii="Arial Narrow" w:eastAsia="Times New Roman" w:hAnsi="Arial Narrow" w:cs="Arial"/>
          <w:lang w:eastAsia="ru-RU"/>
        </w:rPr>
        <w:t xml:space="preserve"> обследования построенного объекта.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2.8. Привязку раздела ОЗДС типовых и повторно применяемых проектов допускается осуществлять без проведения обследованиях объектов только в тех случаях, когда при привязке других разделов не изменены архитектурно-планировочные решения, места установки технологического и сантехнического оборудования, а также трассы прокладки инженерных коммуникаций типового проекта.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2.9. Электроснабжение ОЗДС допускается осуществлять по III категории надежности, в соответствии с ПУЭ.</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2.10. Схема подключения элементов ОЗДС должна выполняться в соответствии с технической документацией на эту аппаратуру и изделия.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2.11. Для подключения элементов ОЗДС следует применять кабели или провода </w:t>
      </w:r>
      <w:proofErr w:type="gramStart"/>
      <w:r w:rsidRPr="00B274E7">
        <w:rPr>
          <w:rFonts w:ascii="Arial Narrow" w:eastAsia="Times New Roman" w:hAnsi="Arial Narrow" w:cs="Arial"/>
          <w:lang w:eastAsia="ru-RU"/>
        </w:rPr>
        <w:t>с медными жилам</w:t>
      </w:r>
      <w:proofErr w:type="gramEnd"/>
      <w:r w:rsidRPr="00B274E7">
        <w:rPr>
          <w:rFonts w:ascii="Arial Narrow" w:eastAsia="Times New Roman" w:hAnsi="Arial Narrow" w:cs="Arial"/>
          <w:lang w:eastAsia="ru-RU"/>
        </w:rPr>
        <w:t>. Допускается использование кабелей или проводов с алюминиевыми жилами при соответствующем обосновании</w:t>
      </w:r>
      <w:r w:rsidR="00D719C5">
        <w:rPr>
          <w:rFonts w:ascii="Arial Narrow" w:eastAsia="Times New Roman" w:hAnsi="Arial Narrow" w:cs="Arial"/>
          <w:lang w:eastAsia="ru-RU"/>
        </w:rPr>
        <w:t>*</w:t>
      </w:r>
      <w:r w:rsidRPr="00B274E7">
        <w:rPr>
          <w:rFonts w:ascii="Arial Narrow" w:eastAsia="Times New Roman" w:hAnsi="Arial Narrow" w:cs="Arial"/>
          <w:lang w:eastAsia="ru-RU"/>
        </w:rPr>
        <w:t>.</w:t>
      </w:r>
    </w:p>
    <w:p w:rsidR="002D1C76"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r w:rsidR="00D719C5">
        <w:rPr>
          <w:rFonts w:ascii="Arial Narrow" w:eastAsia="Times New Roman" w:hAnsi="Arial Narrow" w:cs="Arial"/>
          <w:lang w:eastAsia="ru-RU"/>
        </w:rPr>
        <w:t>* утратило силу в части «</w:t>
      </w:r>
      <w:r w:rsidR="00D719C5" w:rsidRPr="00B274E7">
        <w:rPr>
          <w:rFonts w:ascii="Arial Narrow" w:eastAsia="Times New Roman" w:hAnsi="Arial Narrow" w:cs="Arial"/>
          <w:lang w:eastAsia="ru-RU"/>
        </w:rPr>
        <w:t>Допускается использование кабелей или проводов с алюминиевыми жилами при соответствующем обосновании</w:t>
      </w:r>
      <w:r w:rsidR="00D719C5">
        <w:rPr>
          <w:rFonts w:ascii="Arial Narrow" w:eastAsia="Times New Roman" w:hAnsi="Arial Narrow" w:cs="Arial"/>
          <w:lang w:eastAsia="ru-RU"/>
        </w:rPr>
        <w:t>»</w:t>
      </w:r>
    </w:p>
    <w:p w:rsidR="00D719C5" w:rsidRPr="00B274E7" w:rsidRDefault="00D719C5" w:rsidP="00B274E7">
      <w:pPr>
        <w:overflowPunct w:val="0"/>
        <w:spacing w:after="0" w:line="360" w:lineRule="auto"/>
        <w:ind w:firstLine="336"/>
        <w:rPr>
          <w:rFonts w:ascii="Arial Narrow" w:eastAsia="Times New Roman" w:hAnsi="Arial Narrow" w:cs="Arial"/>
          <w:lang w:eastAsia="ru-RU"/>
        </w:rPr>
      </w:pP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2.12. Электропроводка между элементами ОЗДС должна быть, как правило, открытой сменяемой в пластмассовых трубах, прокладываемых по стенам и перекрытиям или на лотках.</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2.13. Сечения проводов и кабелей следует выбирать согласно ПУЭ.</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2.14. Блок преобразователя импульсный (БПИ) ОЗДС рекомендуется размещать в </w:t>
      </w:r>
      <w:proofErr w:type="spellStart"/>
      <w:r w:rsidRPr="00B274E7">
        <w:rPr>
          <w:rFonts w:ascii="Arial Narrow" w:eastAsia="Times New Roman" w:hAnsi="Arial Narrow" w:cs="Arial"/>
          <w:lang w:eastAsia="ru-RU"/>
        </w:rPr>
        <w:t>электрощитовой</w:t>
      </w:r>
      <w:proofErr w:type="spellEnd"/>
      <w:r w:rsidRPr="00B274E7">
        <w:rPr>
          <w:rFonts w:ascii="Arial Narrow" w:eastAsia="Times New Roman" w:hAnsi="Arial Narrow" w:cs="Arial"/>
          <w:lang w:eastAsia="ru-RU"/>
        </w:rPr>
        <w:t>. Блок высоковольтного усилителя (БВУ) должен размещаться в непосредственной близости от БЭ. При размещении БВУ в подвале его следует устанавливать выше уровня возможного затопления, но не более 1,8 м над полом или площадкой обслуживания.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2.15. Перед каждым БВУ, если это не предусмотрено его конструкцией, должен быть установлен отключающий аппарат, предназначенный для снятия напряжения с БЭ при проведении профилактических или ремонтных работ.</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2.16. Сигнал о работе БПИ следует, как правило, передавать на пульт объединенной диспетчерской службы (ОДС).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3. Монтаж и приемка в эксплуатацию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3.1. Работы по монтажу ОЗДС следует проводить согласно утвержденному проекту, эксплуатационной документации на аппаратуру и изделия в соответствии с действующими нормами по монтажу </w:t>
      </w:r>
      <w:r w:rsidRPr="00B274E7">
        <w:rPr>
          <w:rFonts w:ascii="Arial Narrow" w:eastAsia="Times New Roman" w:hAnsi="Arial Narrow" w:cs="Arial"/>
          <w:lang w:eastAsia="ru-RU"/>
        </w:rPr>
        <w:lastRenderedPageBreak/>
        <w:t>электротехнических устройств на основе применения узлового и комплектно-блочного методов индустриализации и механизации строительства.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3.2. Электромонтажные работы, как правило, следует проводить в одну стадию после завершения комплекса общестроительных и отделочных работ и по окончании работ по монтажу технологического оборудования, сантехнических устройств, прокладки всех инженерных коммуникаций, включая заделку стыков и зазоров между строительными конструкциями, трубами, проводами и кабелями.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3.3. В зоне монтажа ОЗДС должно быть смонтировано временное или постоянное электрическое освещение и обеспечены условия для безопасного производства монтажных работ, отвечающие санитарным и противопожарным нормам.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3.4. До начала монтажа ОЗДС следует произвести </w:t>
      </w:r>
      <w:proofErr w:type="spellStart"/>
      <w:r w:rsidRPr="00B274E7">
        <w:rPr>
          <w:rFonts w:ascii="Arial Narrow" w:eastAsia="Times New Roman" w:hAnsi="Arial Narrow" w:cs="Arial"/>
          <w:lang w:eastAsia="ru-RU"/>
        </w:rPr>
        <w:t>предмонтажное</w:t>
      </w:r>
      <w:proofErr w:type="spellEnd"/>
      <w:r w:rsidRPr="00B274E7">
        <w:rPr>
          <w:rFonts w:ascii="Arial Narrow" w:eastAsia="Times New Roman" w:hAnsi="Arial Narrow" w:cs="Arial"/>
          <w:lang w:eastAsia="ru-RU"/>
        </w:rPr>
        <w:t xml:space="preserve"> обследование объекта согласно требованиям, изложенным в п.2.5. настоящей Инструкции с целью выявления допущенных при строительстве отклонений, которые могут отрицательно сказаться на эффективности работы ОЗДС. Результаты </w:t>
      </w:r>
      <w:proofErr w:type="spellStart"/>
      <w:r w:rsidRPr="00B274E7">
        <w:rPr>
          <w:rFonts w:ascii="Arial Narrow" w:eastAsia="Times New Roman" w:hAnsi="Arial Narrow" w:cs="Arial"/>
          <w:lang w:eastAsia="ru-RU"/>
        </w:rPr>
        <w:t>предмонтажного</w:t>
      </w:r>
      <w:proofErr w:type="spellEnd"/>
      <w:r w:rsidRPr="00B274E7">
        <w:rPr>
          <w:rFonts w:ascii="Arial Narrow" w:eastAsia="Times New Roman" w:hAnsi="Arial Narrow" w:cs="Arial"/>
          <w:lang w:eastAsia="ru-RU"/>
        </w:rPr>
        <w:t xml:space="preserve"> обследования объекта оформляются актом (Приложение 2) с внесением, по согласованию с заказчиком, необходимых уточнений в проектно-сметную документацию.</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3.5. Аппаратура ОЗДС должна быть снабжена соответствующими надписями, а БЭ должны иметь яркую предупреждающую окраску</w:t>
      </w:r>
      <w:r w:rsidR="00D719C5">
        <w:rPr>
          <w:rFonts w:ascii="Arial Narrow" w:eastAsia="Times New Roman" w:hAnsi="Arial Narrow" w:cs="Arial"/>
          <w:lang w:eastAsia="ru-RU"/>
        </w:rPr>
        <w:t>*</w:t>
      </w:r>
      <w:r w:rsidRPr="00B274E7">
        <w:rPr>
          <w:rFonts w:ascii="Arial Narrow" w:eastAsia="Times New Roman" w:hAnsi="Arial Narrow" w:cs="Arial"/>
          <w:lang w:eastAsia="ru-RU"/>
        </w:rPr>
        <w:t>.</w:t>
      </w:r>
    </w:p>
    <w:p w:rsidR="00D719C5" w:rsidRPr="00B274E7" w:rsidRDefault="00D719C5" w:rsidP="00B274E7">
      <w:pPr>
        <w:overflowPunct w:val="0"/>
        <w:spacing w:after="0" w:line="360" w:lineRule="auto"/>
        <w:ind w:firstLine="336"/>
        <w:rPr>
          <w:rFonts w:ascii="Arial Narrow" w:eastAsia="Times New Roman" w:hAnsi="Arial Narrow" w:cs="Arial"/>
          <w:lang w:eastAsia="ru-RU"/>
        </w:rPr>
      </w:pPr>
      <w:r>
        <w:rPr>
          <w:rFonts w:ascii="Arial Narrow" w:eastAsia="Times New Roman" w:hAnsi="Arial Narrow" w:cs="Arial"/>
          <w:lang w:eastAsia="ru-RU"/>
        </w:rPr>
        <w:t>* дополнительно рекомендовано применение предупреждающих наклеек с информацией о наличие оборудования ОЗДС «</w:t>
      </w:r>
      <w:hyperlink r:id="rId6" w:history="1">
        <w:r w:rsidRPr="00D719C5">
          <w:rPr>
            <w:rStyle w:val="a5"/>
            <w:rFonts w:ascii="Arial Narrow" w:eastAsia="Times New Roman" w:hAnsi="Arial Narrow" w:cs="Arial"/>
            <w:lang w:eastAsia="ru-RU"/>
          </w:rPr>
          <w:t>Помещение оборудовано ОЗДС</w:t>
        </w:r>
      </w:hyperlink>
      <w:r>
        <w:rPr>
          <w:rFonts w:ascii="Arial Narrow" w:eastAsia="Times New Roman" w:hAnsi="Arial Narrow" w:cs="Arial"/>
          <w:lang w:eastAsia="ru-RU"/>
        </w:rPr>
        <w:t xml:space="preserve">»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3.6. Работы по монтажу ОЗДС рекомендуется выполнять выездными комплексными бригадами. Окончанием монтажа ОЗДС является подписание рабочей комиссией акта окончания работ по монтажу ОЗДС по завершении испытаний смонтированного на объекте оборудования (Приложение 3), с приложением к нему акта измерения сопротивления изоляции электропроводок (Приложение 4) и ведомости смонтированного оборудования (Приложение 5). В акте окончания работ по монтажу должно быть указано на возможность принятия смонтированной ОЗДС в эксплуатацию.</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3.7. Акт окончания работ по монтажу ОЗДС (Приложение 3) передается в папку Государственной комиссии по приемке законченного строительством объекта и является его составной частью.</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1</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xml:space="preserve">(обязательное)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АКТ</w:t>
      </w:r>
    </w:p>
    <w:p w:rsidR="002D1C76" w:rsidRPr="00B274E7" w:rsidRDefault="002D1C76" w:rsidP="00B274E7">
      <w:pPr>
        <w:overflowPunct w:val="0"/>
        <w:spacing w:after="0" w:line="360" w:lineRule="auto"/>
        <w:jc w:val="center"/>
        <w:rPr>
          <w:rFonts w:ascii="Arial Narrow" w:eastAsia="Times New Roman" w:hAnsi="Arial Narrow" w:cs="Arial"/>
          <w:lang w:eastAsia="ru-RU"/>
        </w:rPr>
      </w:pPr>
      <w:proofErr w:type="spellStart"/>
      <w:r w:rsidRPr="00B274E7">
        <w:rPr>
          <w:rFonts w:ascii="Arial Narrow" w:eastAsia="Times New Roman" w:hAnsi="Arial Narrow" w:cs="Arial"/>
          <w:lang w:eastAsia="ru-RU"/>
        </w:rPr>
        <w:t>предпроектного</w:t>
      </w:r>
      <w:proofErr w:type="spellEnd"/>
      <w:r w:rsidRPr="00B274E7">
        <w:rPr>
          <w:rFonts w:ascii="Arial Narrow" w:eastAsia="Times New Roman" w:hAnsi="Arial Narrow" w:cs="Arial"/>
          <w:lang w:eastAsia="ru-RU"/>
        </w:rPr>
        <w:t xml:space="preserve"> обследования здания, оснащаемого охранно-защитной</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дератизационной системой (ОЗДС)</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г. Москва                                                                                             </w:t>
      </w:r>
      <w:r w:rsidR="003A408A" w:rsidRPr="00B274E7">
        <w:rPr>
          <w:rFonts w:ascii="Arial Narrow" w:eastAsia="Times New Roman" w:hAnsi="Arial Narrow" w:cs="Arial"/>
          <w:lang w:eastAsia="ru-RU"/>
        </w:rPr>
        <w:t>                "____"______20___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Наименование объекта 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Мы, нижеподписавшиеся: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 (Генеральной подрядной организации)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представители Проектной организации: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 специалистов, допущенных к проектированию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(ФИО, должность, </w:t>
      </w:r>
      <w:r w:rsidR="003A408A" w:rsidRPr="00B274E7">
        <w:rPr>
          <w:rFonts w:ascii="Arial Narrow" w:eastAsia="Times New Roman" w:hAnsi="Arial Narrow" w:cs="Arial"/>
          <w:lang w:eastAsia="ru-RU"/>
        </w:rPr>
        <w:t>специалистов</w:t>
      </w:r>
      <w:r w:rsidRPr="00B274E7">
        <w:rPr>
          <w:rFonts w:ascii="Arial Narrow" w:eastAsia="Times New Roman" w:hAnsi="Arial Narrow" w:cs="Arial"/>
          <w:lang w:eastAsia="ru-RU"/>
        </w:rPr>
        <w:t>, допущенных к проектированию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произвели обследование помещений вышеуказанного объекта и установили, что газопроводов или трубопроводов для транспортировки продуктов, которые при аварии могут образовывать взрывоопасную смесь в помещениях, где предполагается установка ОЗДС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(нет или есть)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Размещение элементов ОЗДС дается на прилагаемых чертежах:</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план технического подполья 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план технического этажа 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план мусорокамер 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план </w:t>
      </w:r>
      <w:proofErr w:type="spellStart"/>
      <w:r w:rsidRPr="00B274E7">
        <w:rPr>
          <w:rFonts w:ascii="Arial Narrow" w:eastAsia="Times New Roman" w:hAnsi="Arial Narrow" w:cs="Arial"/>
          <w:lang w:eastAsia="ru-RU"/>
        </w:rPr>
        <w:t>электрощитовой</w:t>
      </w:r>
      <w:proofErr w:type="spellEnd"/>
      <w:r w:rsidRPr="00B274E7">
        <w:rPr>
          <w:rFonts w:ascii="Arial Narrow" w:eastAsia="Times New Roman" w:hAnsi="Arial Narrow" w:cs="Arial"/>
          <w:lang w:eastAsia="ru-RU"/>
        </w:rPr>
        <w:t xml:space="preserve"> 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Защита от проникновения грызунов путем установки мелкоячеистых (размер ячейки 10х10 мм) металлических сеток осуществляется на отверстиях общей площадью ________________________ </w:t>
      </w:r>
      <w:proofErr w:type="spellStart"/>
      <w:r w:rsidRPr="00B274E7">
        <w:rPr>
          <w:rFonts w:ascii="Arial Narrow" w:eastAsia="Times New Roman" w:hAnsi="Arial Narrow" w:cs="Arial"/>
          <w:lang w:eastAsia="ru-RU"/>
        </w:rPr>
        <w:t>м.кв</w:t>
      </w:r>
      <w:proofErr w:type="spellEnd"/>
      <w:r w:rsidRPr="00B274E7">
        <w:rPr>
          <w:rFonts w:ascii="Arial Narrow" w:eastAsia="Times New Roman" w:hAnsi="Arial Narrow" w:cs="Arial"/>
          <w:lang w:eastAsia="ru-RU"/>
        </w:rPr>
        <w:t>.</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0" w:type="auto"/>
        <w:tblInd w:w="105" w:type="dxa"/>
        <w:tblCellMar>
          <w:left w:w="0" w:type="dxa"/>
          <w:right w:w="0" w:type="dxa"/>
        </w:tblCellMar>
        <w:tblLook w:val="04A0" w:firstRow="1" w:lastRow="0" w:firstColumn="1" w:lastColumn="0" w:noHBand="0" w:noVBand="1"/>
      </w:tblPr>
      <w:tblGrid>
        <w:gridCol w:w="4111"/>
        <w:gridCol w:w="4253"/>
      </w:tblGrid>
      <w:tr w:rsidR="00B274E7" w:rsidRPr="00B274E7" w:rsidTr="002D1C76">
        <w:tc>
          <w:tcPr>
            <w:tcW w:w="4111"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(Генподрядчика)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4253"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Представители проектной 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r>
    </w:tbl>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2</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(обязательное)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АКТ</w:t>
      </w:r>
    </w:p>
    <w:p w:rsidR="002D1C76" w:rsidRPr="00B274E7" w:rsidRDefault="002D1C76" w:rsidP="00B274E7">
      <w:pPr>
        <w:overflowPunct w:val="0"/>
        <w:spacing w:after="0" w:line="360" w:lineRule="auto"/>
        <w:jc w:val="center"/>
        <w:rPr>
          <w:rFonts w:ascii="Arial Narrow" w:eastAsia="Times New Roman" w:hAnsi="Arial Narrow" w:cs="Arial"/>
          <w:lang w:eastAsia="ru-RU"/>
        </w:rPr>
      </w:pPr>
      <w:proofErr w:type="spellStart"/>
      <w:r w:rsidRPr="00B274E7">
        <w:rPr>
          <w:rFonts w:ascii="Arial Narrow" w:eastAsia="Times New Roman" w:hAnsi="Arial Narrow" w:cs="Arial"/>
          <w:lang w:eastAsia="ru-RU"/>
        </w:rPr>
        <w:t>предмонтажного</w:t>
      </w:r>
      <w:proofErr w:type="spellEnd"/>
      <w:r w:rsidRPr="00B274E7">
        <w:rPr>
          <w:rFonts w:ascii="Arial Narrow" w:eastAsia="Times New Roman" w:hAnsi="Arial Narrow" w:cs="Arial"/>
          <w:lang w:eastAsia="ru-RU"/>
        </w:rPr>
        <w:t xml:space="preserve"> обследования здания, оснащаемого охранно-защитной</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дератизационной системой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г.Москва                                                                                                  </w:t>
      </w:r>
      <w:r w:rsidR="003A408A" w:rsidRPr="00B274E7">
        <w:rPr>
          <w:rFonts w:ascii="Arial Narrow" w:eastAsia="Times New Roman" w:hAnsi="Arial Narrow" w:cs="Arial"/>
          <w:lang w:eastAsia="ru-RU"/>
        </w:rPr>
        <w:t>             "______"_______20___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Объект: 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Мы, нижеподписавшиеся,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 (Генеральной подрядной организации)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представители Проектной организации: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w:t>
      </w:r>
      <w:r w:rsidR="003A408A" w:rsidRPr="00B274E7">
        <w:rPr>
          <w:rFonts w:ascii="Arial Narrow" w:eastAsia="Times New Roman" w:hAnsi="Arial Narrow" w:cs="Arial"/>
          <w:lang w:eastAsia="ru-RU"/>
        </w:rPr>
        <w:t>ФИО, должность, специалистов, допущенных к проектированию ОЗДС</w:t>
      </w:r>
      <w:r w:rsidRPr="00B274E7">
        <w:rPr>
          <w:rFonts w:ascii="Arial Narrow" w:eastAsia="Times New Roman" w:hAnsi="Arial Narrow" w:cs="Arial"/>
          <w:lang w:eastAsia="ru-RU"/>
        </w:rPr>
        <w:t>)</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w:t>
      </w:r>
      <w:r w:rsidR="003A408A" w:rsidRPr="00B274E7">
        <w:rPr>
          <w:rFonts w:ascii="Arial Narrow" w:eastAsia="Times New Roman" w:hAnsi="Arial Narrow" w:cs="Arial"/>
          <w:lang w:eastAsia="ru-RU"/>
        </w:rPr>
        <w:t>ФИО, должность, специалистов, допущенных к проектированию ОЗДС</w:t>
      </w:r>
      <w:r w:rsidRPr="00B274E7">
        <w:rPr>
          <w:rFonts w:ascii="Arial Narrow" w:eastAsia="Times New Roman" w:hAnsi="Arial Narrow" w:cs="Arial"/>
          <w:lang w:eastAsia="ru-RU"/>
        </w:rPr>
        <w:t>)</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произвели обследование помещений вышеуказанного объекта и установили, что газопроводов и мест возможного скопления газов во взрывоопасной концентрации в помещениях, где предполагается установка ОЗДС нет. Размещение элементов ОЗДС следует вести согласно проектной документации за исключением следующих мест:</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8364" w:type="dxa"/>
        <w:tblInd w:w="105" w:type="dxa"/>
        <w:tblCellMar>
          <w:left w:w="0" w:type="dxa"/>
          <w:right w:w="0" w:type="dxa"/>
        </w:tblCellMar>
        <w:tblLook w:val="04A0" w:firstRow="1" w:lastRow="0" w:firstColumn="1" w:lastColumn="0" w:noHBand="0" w:noVBand="1"/>
      </w:tblPr>
      <w:tblGrid>
        <w:gridCol w:w="3686"/>
        <w:gridCol w:w="4678"/>
      </w:tblGrid>
      <w:tr w:rsidR="00B274E7" w:rsidRPr="00B274E7" w:rsidTr="002D1C76">
        <w:tc>
          <w:tcPr>
            <w:tcW w:w="3686"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(Генподрядчика)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4678"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Представители проектной 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r>
    </w:tbl>
    <w:p w:rsidR="002D1C76" w:rsidRPr="00B274E7" w:rsidRDefault="002D1C76" w:rsidP="00B274E7">
      <w:pPr>
        <w:spacing w:after="0" w:line="360" w:lineRule="auto"/>
        <w:rPr>
          <w:rFonts w:ascii="Arial Narrow" w:eastAsia="Times New Roman" w:hAnsi="Arial Narrow" w:cs="Arial"/>
          <w:lang w:eastAsia="ru-RU"/>
        </w:rPr>
      </w:pP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3</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(обязательное)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АКТ</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измерения сопротивления изоляции электропроводок</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"______"____________20___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Объект</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Наименование организации заказчика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Наименование проектной организации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Проект N 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Данные контрольных приборов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8364" w:type="dxa"/>
        <w:tblInd w:w="45" w:type="dxa"/>
        <w:tblCellMar>
          <w:left w:w="0" w:type="dxa"/>
          <w:right w:w="0" w:type="dxa"/>
        </w:tblCellMar>
        <w:tblLook w:val="04A0" w:firstRow="1" w:lastRow="0" w:firstColumn="1" w:lastColumn="0" w:noHBand="0" w:noVBand="1"/>
      </w:tblPr>
      <w:tblGrid>
        <w:gridCol w:w="705"/>
        <w:gridCol w:w="1740"/>
        <w:gridCol w:w="816"/>
        <w:gridCol w:w="1417"/>
        <w:gridCol w:w="851"/>
        <w:gridCol w:w="1275"/>
        <w:gridCol w:w="1560"/>
      </w:tblGrid>
      <w:tr w:rsidR="00B274E7" w:rsidRPr="00B274E7" w:rsidTr="002D1C76">
        <w:tc>
          <w:tcPr>
            <w:tcW w:w="705"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N п/п</w:t>
            </w:r>
            <w:r w:rsidRPr="00B274E7">
              <w:rPr>
                <w:rFonts w:ascii="Arial Narrow" w:eastAsia="Times New Roman" w:hAnsi="Arial Narrow" w:cs="Arial"/>
                <w:lang w:eastAsia="ru-RU"/>
              </w:rPr>
              <w:t xml:space="preserve"> </w:t>
            </w:r>
          </w:p>
        </w:tc>
        <w:tc>
          <w:tcPr>
            <w:tcW w:w="17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Наименование прибора</w:t>
            </w:r>
            <w:r w:rsidRPr="00B274E7">
              <w:rPr>
                <w:rFonts w:ascii="Arial Narrow" w:eastAsia="Times New Roman" w:hAnsi="Arial Narrow" w:cs="Arial"/>
                <w:lang w:eastAsia="ru-RU"/>
              </w:rPr>
              <w:t xml:space="preserve"> </w:t>
            </w:r>
          </w:p>
        </w:tc>
        <w:tc>
          <w:tcPr>
            <w:tcW w:w="81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Тип</w:t>
            </w:r>
            <w:r w:rsidRPr="00B274E7">
              <w:rPr>
                <w:rFonts w:ascii="Arial Narrow" w:eastAsia="Times New Roman" w:hAnsi="Arial Narrow" w:cs="Arial"/>
                <w:lang w:eastAsia="ru-RU"/>
              </w:rPr>
              <w:t xml:space="preserve"> </w:t>
            </w:r>
          </w:p>
        </w:tc>
        <w:tc>
          <w:tcPr>
            <w:tcW w:w="1417"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N прибора</w:t>
            </w:r>
            <w:r w:rsidRPr="00B274E7">
              <w:rPr>
                <w:rFonts w:ascii="Arial Narrow" w:eastAsia="Times New Roman" w:hAnsi="Arial Narrow" w:cs="Arial"/>
                <w:lang w:eastAsia="ru-RU"/>
              </w:rPr>
              <w:t xml:space="preserve"> </w:t>
            </w:r>
          </w:p>
        </w:tc>
        <w:tc>
          <w:tcPr>
            <w:tcW w:w="85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Шкала</w:t>
            </w:r>
            <w:r w:rsidRPr="00B274E7">
              <w:rPr>
                <w:rFonts w:ascii="Arial Narrow" w:eastAsia="Times New Roman" w:hAnsi="Arial Narrow" w:cs="Arial"/>
                <w:lang w:eastAsia="ru-RU"/>
              </w:rPr>
              <w:t xml:space="preserve"> </w:t>
            </w:r>
          </w:p>
        </w:tc>
        <w:tc>
          <w:tcPr>
            <w:tcW w:w="1275"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Класс</w:t>
            </w:r>
            <w:r w:rsidRPr="00B274E7">
              <w:rPr>
                <w:rFonts w:ascii="Arial Narrow" w:eastAsia="Times New Roman" w:hAnsi="Arial Narrow" w:cs="Arial"/>
                <w:lang w:eastAsia="ru-RU"/>
              </w:rPr>
              <w:t xml:space="preserve"> </w:t>
            </w:r>
          </w:p>
        </w:tc>
        <w:tc>
          <w:tcPr>
            <w:tcW w:w="15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Примечание</w:t>
            </w:r>
            <w:r w:rsidRPr="00B274E7">
              <w:rPr>
                <w:rFonts w:ascii="Arial Narrow" w:eastAsia="Times New Roman" w:hAnsi="Arial Narrow" w:cs="Arial"/>
                <w:lang w:eastAsia="ru-RU"/>
              </w:rPr>
              <w:t xml:space="preserve"> </w:t>
            </w:r>
          </w:p>
        </w:tc>
      </w:tr>
      <w:tr w:rsidR="00B274E7" w:rsidRPr="00B274E7" w:rsidTr="002D1C76">
        <w:tc>
          <w:tcPr>
            <w:tcW w:w="7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1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417"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1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417"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1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417"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1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417"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05"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1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417"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bl>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Данные испытаний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8467" w:type="dxa"/>
        <w:tblInd w:w="45" w:type="dxa"/>
        <w:tblCellMar>
          <w:left w:w="0" w:type="dxa"/>
          <w:right w:w="0" w:type="dxa"/>
        </w:tblCellMar>
        <w:tblLook w:val="04A0" w:firstRow="1" w:lastRow="0" w:firstColumn="1" w:lastColumn="0" w:noHBand="0" w:noVBand="1"/>
      </w:tblPr>
      <w:tblGrid>
        <w:gridCol w:w="477"/>
        <w:gridCol w:w="1907"/>
        <w:gridCol w:w="1421"/>
        <w:gridCol w:w="998"/>
        <w:gridCol w:w="1068"/>
        <w:gridCol w:w="1418"/>
        <w:gridCol w:w="1178"/>
      </w:tblGrid>
      <w:tr w:rsidR="00B274E7" w:rsidRPr="00B274E7" w:rsidTr="002D1C76">
        <w:tc>
          <w:tcPr>
            <w:tcW w:w="459" w:type="dxa"/>
            <w:tcBorders>
              <w:top w:val="single" w:sz="8" w:space="0" w:color="auto"/>
              <w:left w:val="single" w:sz="8" w:space="0" w:color="auto"/>
              <w:bottom w:val="nil"/>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943" w:type="dxa"/>
            <w:tcBorders>
              <w:top w:val="single" w:sz="8" w:space="0" w:color="auto"/>
              <w:left w:val="nil"/>
              <w:bottom w:val="nil"/>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single" w:sz="8" w:space="0" w:color="auto"/>
              <w:left w:val="nil"/>
              <w:bottom w:val="nil"/>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071" w:type="dxa"/>
            <w:tcBorders>
              <w:top w:val="single" w:sz="8" w:space="0" w:color="auto"/>
              <w:left w:val="nil"/>
              <w:bottom w:val="nil"/>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2835" w:type="dxa"/>
            <w:gridSpan w:val="2"/>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Сопротивление изоляции, МОм </w:t>
            </w:r>
          </w:p>
        </w:tc>
        <w:tc>
          <w:tcPr>
            <w:tcW w:w="1309" w:type="dxa"/>
            <w:tcBorders>
              <w:top w:val="single" w:sz="8" w:space="0" w:color="auto"/>
              <w:left w:val="nil"/>
              <w:bottom w:val="nil"/>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45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lastRenderedPageBreak/>
              <w:t xml:space="preserve">N п/п </w:t>
            </w:r>
          </w:p>
        </w:tc>
        <w:tc>
          <w:tcPr>
            <w:tcW w:w="1943"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proofErr w:type="gramStart"/>
            <w:r w:rsidRPr="00B274E7">
              <w:rPr>
                <w:rFonts w:ascii="Arial Narrow" w:eastAsia="Times New Roman" w:hAnsi="Arial Narrow" w:cs="Arial"/>
                <w:lang w:eastAsia="ru-RU"/>
              </w:rPr>
              <w:t>Маркировка  провода</w:t>
            </w:r>
            <w:proofErr w:type="gramEnd"/>
            <w:r w:rsidRPr="00B274E7">
              <w:rPr>
                <w:rFonts w:ascii="Arial Narrow" w:eastAsia="Times New Roman" w:hAnsi="Arial Narrow" w:cs="Arial"/>
                <w:lang w:eastAsia="ru-RU"/>
              </w:rPr>
              <w:t xml:space="preserve"> (кабеля) по чертежу, N позиции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proofErr w:type="gramStart"/>
            <w:r w:rsidRPr="00B274E7">
              <w:rPr>
                <w:rFonts w:ascii="Arial Narrow" w:eastAsia="Times New Roman" w:hAnsi="Arial Narrow" w:cs="Arial"/>
                <w:lang w:eastAsia="ru-RU"/>
              </w:rPr>
              <w:t>Марка  провода</w:t>
            </w:r>
            <w:proofErr w:type="gramEnd"/>
            <w:r w:rsidRPr="00B274E7">
              <w:rPr>
                <w:rFonts w:ascii="Arial Narrow" w:eastAsia="Times New Roman" w:hAnsi="Arial Narrow" w:cs="Arial"/>
                <w:lang w:eastAsia="ru-RU"/>
              </w:rPr>
              <w:t xml:space="preserve"> (кабеля) </w:t>
            </w:r>
          </w:p>
        </w:tc>
        <w:tc>
          <w:tcPr>
            <w:tcW w:w="107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Кол-во </w:t>
            </w:r>
            <w:proofErr w:type="gramStart"/>
            <w:r w:rsidRPr="00B274E7">
              <w:rPr>
                <w:rFonts w:ascii="Arial Narrow" w:eastAsia="Times New Roman" w:hAnsi="Arial Narrow" w:cs="Arial"/>
                <w:lang w:eastAsia="ru-RU"/>
              </w:rPr>
              <w:t>и  сечение</w:t>
            </w:r>
            <w:proofErr w:type="gramEnd"/>
            <w:r w:rsidRPr="00B274E7">
              <w:rPr>
                <w:rFonts w:ascii="Arial Narrow" w:eastAsia="Times New Roman" w:hAnsi="Arial Narrow" w:cs="Arial"/>
                <w:lang w:eastAsia="ru-RU"/>
              </w:rPr>
              <w:t xml:space="preserve"> жил, мм</w:t>
            </w:r>
            <w:r w:rsidR="007445F7" w:rsidRPr="00B274E7">
              <w:rPr>
                <w:rFonts w:ascii="Arial Narrow" w:eastAsia="Times New Roman" w:hAnsi="Arial Narrow" w:cs="Arial"/>
                <w:noProof/>
                <w:lang w:eastAsia="ru-RU"/>
              </w:rPr>
              <w:drawing>
                <wp:inline distT="0" distB="0" distL="0" distR="0">
                  <wp:extent cx="114300" cy="266700"/>
                  <wp:effectExtent l="0" t="0" r="0" b="0"/>
                  <wp:docPr id="1" name="Рисунок 1" descr="http://www.stroyoffis.ru/rm_rukovodysie/rm_2776/image001.gif">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royoffis.ru/rm_rukovodysie/rm_2776/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Pr="00B274E7">
              <w:rPr>
                <w:rFonts w:ascii="Arial Narrow" w:eastAsia="Times New Roman" w:hAnsi="Arial Narrow" w:cs="Arial"/>
                <w:lang w:eastAsia="ru-RU"/>
              </w:rPr>
              <w:t xml:space="preserve">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между проводами (жилами)</w:t>
            </w:r>
            <w:r w:rsidRPr="00B274E7">
              <w:rPr>
                <w:rFonts w:ascii="Arial Narrow" w:eastAsia="Times New Roman" w:hAnsi="Arial Narrow" w:cs="Arial"/>
                <w:lang w:eastAsia="ru-RU"/>
              </w:rPr>
              <w:t xml:space="preserve"> </w:t>
            </w:r>
          </w:p>
        </w:tc>
        <w:tc>
          <w:tcPr>
            <w:tcW w:w="156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i/>
                <w:iCs/>
                <w:lang w:eastAsia="ru-RU"/>
              </w:rPr>
              <w:t>относительно земли</w:t>
            </w:r>
            <w:r w:rsidRPr="00B274E7">
              <w:rPr>
                <w:rFonts w:ascii="Arial Narrow" w:eastAsia="Times New Roman" w:hAnsi="Arial Narrow" w:cs="Arial"/>
                <w:lang w:eastAsia="ru-RU"/>
              </w:rPr>
              <w:t xml:space="preserve"> </w:t>
            </w:r>
          </w:p>
        </w:tc>
        <w:tc>
          <w:tcPr>
            <w:tcW w:w="1309"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Примечание </w:t>
            </w:r>
          </w:p>
        </w:tc>
      </w:tr>
      <w:tr w:rsidR="00B274E7" w:rsidRPr="00B274E7" w:rsidTr="002D1C76">
        <w:tc>
          <w:tcPr>
            <w:tcW w:w="45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943"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07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309"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45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943"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07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309"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45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943"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07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309"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459"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943"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07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5"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56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309"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bl>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Сопротивление изоляции перечисленных электропроводок соответствует техническим требованиям.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8355" w:type="dxa"/>
        <w:tblInd w:w="165" w:type="dxa"/>
        <w:tblCellMar>
          <w:left w:w="0" w:type="dxa"/>
          <w:right w:w="0" w:type="dxa"/>
        </w:tblCellMar>
        <w:tblLook w:val="04A0" w:firstRow="1" w:lastRow="0" w:firstColumn="1" w:lastColumn="0" w:noHBand="0" w:noVBand="1"/>
      </w:tblPr>
      <w:tblGrid>
        <w:gridCol w:w="3960"/>
        <w:gridCol w:w="4395"/>
      </w:tblGrid>
      <w:tr w:rsidR="00B274E7" w:rsidRPr="00B274E7" w:rsidTr="002D1C76">
        <w:tc>
          <w:tcPr>
            <w:tcW w:w="3960" w:type="dxa"/>
            <w:tcBorders>
              <w:top w:val="nil"/>
              <w:left w:val="nil"/>
              <w:bottom w:val="nil"/>
              <w:right w:val="nil"/>
            </w:tcBorders>
            <w:tcMar>
              <w:top w:w="0" w:type="dxa"/>
              <w:left w:w="15" w:type="dxa"/>
              <w:bottom w:w="0" w:type="dxa"/>
              <w:right w:w="1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 (Генподрядчика)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c>
          <w:tcPr>
            <w:tcW w:w="4395" w:type="dxa"/>
            <w:tcBorders>
              <w:top w:val="nil"/>
              <w:left w:val="nil"/>
              <w:bottom w:val="nil"/>
              <w:right w:val="nil"/>
            </w:tcBorders>
            <w:tcMar>
              <w:top w:w="0" w:type="dxa"/>
              <w:left w:w="15" w:type="dxa"/>
              <w:bottom w:w="0" w:type="dxa"/>
              <w:right w:w="1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Представитель монтажной организации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r>
    </w:tbl>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4</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(обязательное)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АКТ</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окончания работ по монтажу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 договору N 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от "___"________20__</w:t>
      </w:r>
      <w:r w:rsidR="002D1C76" w:rsidRPr="00B274E7">
        <w:rPr>
          <w:rFonts w:ascii="Arial Narrow" w:eastAsia="Times New Roman" w:hAnsi="Arial Narrow" w:cs="Arial"/>
          <w:lang w:eastAsia="ru-RU"/>
        </w:rPr>
        <w:t xml:space="preserve"> г.</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г.Москва                                                                                                </w:t>
      </w:r>
      <w:r w:rsidR="003A408A" w:rsidRPr="00B274E7">
        <w:rPr>
          <w:rFonts w:ascii="Arial Narrow" w:eastAsia="Times New Roman" w:hAnsi="Arial Narrow" w:cs="Arial"/>
          <w:lang w:eastAsia="ru-RU"/>
        </w:rPr>
        <w:t>            "___"__________ 20__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Наименование объекта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Мы, нижеподписавшиеся: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 (Генерального подрядчика)</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представитель монтажной организации 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3A408A"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w:t>
      </w:r>
      <w:r w:rsidR="002D1C76" w:rsidRPr="00B274E7">
        <w:rPr>
          <w:rFonts w:ascii="Arial Narrow" w:eastAsia="Times New Roman" w:hAnsi="Arial Narrow" w:cs="Arial"/>
          <w:lang w:eastAsia="ru-RU"/>
        </w:rPr>
        <w:t>ФИО, должность)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произвели осмотр и проверку ОЗДС, смонтированной на объекте.</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К сдаче предъявлены технические средства, указанные в ведомости смонтированного оборудования, согласно приложению 5.</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Работа, выполнена по проекту N _______________, разработанному</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(наименование проектной 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lastRenderedPageBreak/>
        <w:t>(наименование монтажной 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Монтажные работы начаты: "_____"___________2</w:t>
      </w:r>
      <w:r w:rsidR="003A408A" w:rsidRPr="00B274E7">
        <w:rPr>
          <w:rFonts w:ascii="Arial Narrow" w:eastAsia="Times New Roman" w:hAnsi="Arial Narrow" w:cs="Arial"/>
          <w:lang w:eastAsia="ru-RU"/>
        </w:rPr>
        <w:t>0__</w:t>
      </w:r>
      <w:r w:rsidRPr="00B274E7">
        <w:rPr>
          <w:rFonts w:ascii="Arial Narrow" w:eastAsia="Times New Roman" w:hAnsi="Arial Narrow" w:cs="Arial"/>
          <w:lang w:eastAsia="ru-RU"/>
        </w:rPr>
        <w:t xml:space="preserve"> г.</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окончены: "_____"___________20__</w:t>
      </w:r>
      <w:r w:rsidR="002D1C76" w:rsidRPr="00B274E7">
        <w:rPr>
          <w:rFonts w:ascii="Arial Narrow" w:eastAsia="Times New Roman" w:hAnsi="Arial Narrow" w:cs="Arial"/>
          <w:lang w:eastAsia="ru-RU"/>
        </w:rPr>
        <w:t>г.</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Произведен внешний осмотр и проверена работоспособность смонтированной аппаратуры ОЗДС в комплексе с электропроводками (акт испытаний, Приложение 4), блоками высоковольтных усилителей и барьерами электризуемыми.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При этом установлено, что система работает в соответствии с техническим описанием и может быть принята в эксплуатацию.</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0" w:type="auto"/>
        <w:tblInd w:w="105" w:type="dxa"/>
        <w:tblCellMar>
          <w:left w:w="0" w:type="dxa"/>
          <w:right w:w="0" w:type="dxa"/>
        </w:tblCellMar>
        <w:tblLook w:val="04A0" w:firstRow="1" w:lastRow="0" w:firstColumn="1" w:lastColumn="0" w:noHBand="0" w:noVBand="1"/>
      </w:tblPr>
      <w:tblGrid>
        <w:gridCol w:w="4111"/>
        <w:gridCol w:w="4253"/>
      </w:tblGrid>
      <w:tr w:rsidR="00B274E7" w:rsidRPr="00B274E7" w:rsidTr="002D1C76">
        <w:tc>
          <w:tcPr>
            <w:tcW w:w="4111"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Представитель Заказчика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(Генподрядчика)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М.П.</w:t>
            </w:r>
          </w:p>
        </w:tc>
        <w:tc>
          <w:tcPr>
            <w:tcW w:w="4253"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Представитель монтажной</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М.П.</w:t>
            </w:r>
          </w:p>
        </w:tc>
      </w:tr>
    </w:tbl>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5</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(обязательное)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ВЕДОМОСТЬ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смонтированного оборудования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г.Москва                                                                                        </w:t>
      </w:r>
      <w:r w:rsidR="003A408A" w:rsidRPr="00B274E7">
        <w:rPr>
          <w:rFonts w:ascii="Arial Narrow" w:eastAsia="Times New Roman" w:hAnsi="Arial Narrow" w:cs="Arial"/>
          <w:lang w:eastAsia="ru-RU"/>
        </w:rPr>
        <w:t>            "_____"_________20__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Объект: ___________________________________________________________________________________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Проектная организация: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________________________________________________________________________________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Проект N _________________</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8364" w:type="dxa"/>
        <w:tblInd w:w="45" w:type="dxa"/>
        <w:tblCellMar>
          <w:left w:w="0" w:type="dxa"/>
          <w:right w:w="0" w:type="dxa"/>
        </w:tblCellMar>
        <w:tblLook w:val="04A0" w:firstRow="1" w:lastRow="0" w:firstColumn="1" w:lastColumn="0" w:noHBand="0" w:noVBand="1"/>
      </w:tblPr>
      <w:tblGrid>
        <w:gridCol w:w="720"/>
        <w:gridCol w:w="1832"/>
        <w:gridCol w:w="1701"/>
        <w:gridCol w:w="1134"/>
        <w:gridCol w:w="1276"/>
        <w:gridCol w:w="850"/>
        <w:gridCol w:w="851"/>
      </w:tblGrid>
      <w:tr w:rsidR="00B274E7" w:rsidRPr="00B274E7" w:rsidTr="002D1C76">
        <w:tc>
          <w:tcPr>
            <w:tcW w:w="72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N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832"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Наименование </w:t>
            </w:r>
          </w:p>
        </w:tc>
        <w:tc>
          <w:tcPr>
            <w:tcW w:w="170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Тип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Кол-во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Заводской N </w:t>
            </w:r>
          </w:p>
        </w:tc>
        <w:tc>
          <w:tcPr>
            <w:tcW w:w="85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Цена, за ед.</w:t>
            </w:r>
          </w:p>
        </w:tc>
        <w:tc>
          <w:tcPr>
            <w:tcW w:w="85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Сумма, руб.</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1.</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БПИ, шт.</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2.</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БВУ, шт.</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3.</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  БЭ, м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4.</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5.</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r w:rsidR="00B274E7" w:rsidRPr="00B274E7" w:rsidTr="002D1C76">
        <w:tc>
          <w:tcPr>
            <w:tcW w:w="72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6.</w:t>
            </w:r>
          </w:p>
        </w:tc>
        <w:tc>
          <w:tcPr>
            <w:tcW w:w="1832"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70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13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1276"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851"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bl>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0" w:type="auto"/>
        <w:tblInd w:w="105" w:type="dxa"/>
        <w:tblCellMar>
          <w:left w:w="0" w:type="dxa"/>
          <w:right w:w="0" w:type="dxa"/>
        </w:tblCellMar>
        <w:tblLook w:val="04A0" w:firstRow="1" w:lastRow="0" w:firstColumn="1" w:lastColumn="0" w:noHBand="0" w:noVBand="1"/>
      </w:tblPr>
      <w:tblGrid>
        <w:gridCol w:w="3828"/>
        <w:gridCol w:w="4394"/>
      </w:tblGrid>
      <w:tr w:rsidR="00B274E7" w:rsidRPr="00B274E7" w:rsidTr="002D1C76">
        <w:tc>
          <w:tcPr>
            <w:tcW w:w="3828"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Представитель Заказчика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(Генподрядчика)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c>
          <w:tcPr>
            <w:tcW w:w="4394" w:type="dxa"/>
            <w:tcBorders>
              <w:top w:val="nil"/>
              <w:left w:val="nil"/>
              <w:bottom w:val="nil"/>
              <w:right w:val="nil"/>
            </w:tcBorders>
            <w:tcMar>
              <w:top w:w="0" w:type="dxa"/>
              <w:left w:w="105" w:type="dxa"/>
              <w:bottom w:w="0" w:type="dxa"/>
              <w:right w:w="10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Представитель монтажной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организации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____________________________</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(подпись)</w:t>
            </w:r>
          </w:p>
        </w:tc>
      </w:tr>
    </w:tbl>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6</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(справочное)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ПЕРЕЧЕНЬ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использованных распорядительных и нормативных документов</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Закон РФ "О санитарно-эпидемиологическом благополучии населения".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"Положение о государственном санитарно-эпидемиологическом нормировании" с изменениями и дополнениями, утвержденное Постановлением Правительства РФ от 30.06.98 г. N 680.</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Приказ Госкомсанэпиднадзора от 16.11.93 г. N 120 "О внедрении нормативно-методических документов Госкомсанэпиднадзора России".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Классификатор санитарно-гигиенических и эпидемиологических документов, утвержденный Госкомсанэпиднадзором России от 09.04.93 г.</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Постановление Правительства Москвы от 27.04.99 г. N 379 "Об оснащении объектов города охранно-защитными дератизационными системами".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ГОСТ Р </w:t>
      </w:r>
      <w:proofErr w:type="gramStart"/>
      <w:r w:rsidRPr="00B274E7">
        <w:rPr>
          <w:rFonts w:ascii="Arial Narrow" w:eastAsia="Times New Roman" w:hAnsi="Arial Narrow" w:cs="Arial"/>
          <w:lang w:eastAsia="ru-RU"/>
        </w:rPr>
        <w:t>1.5.-</w:t>
      </w:r>
      <w:proofErr w:type="gramEnd"/>
      <w:r w:rsidRPr="00B274E7">
        <w:rPr>
          <w:rFonts w:ascii="Arial Narrow" w:eastAsia="Times New Roman" w:hAnsi="Arial Narrow" w:cs="Arial"/>
          <w:lang w:eastAsia="ru-RU"/>
        </w:rPr>
        <w:t>92 Государственная система стандартизации РФ. Общие требования к построению, изложению, оформлению и содержанию стандартов.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Санитарные правила СП 3.5.3.554-96 "Организация и проведение дератизационных мероприятий".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Санитарные правила и нормы </w:t>
      </w:r>
      <w:proofErr w:type="spellStart"/>
      <w:r w:rsidRPr="00B274E7">
        <w:rPr>
          <w:rFonts w:ascii="Arial Narrow" w:eastAsia="Times New Roman" w:hAnsi="Arial Narrow" w:cs="Arial"/>
          <w:lang w:eastAsia="ru-RU"/>
        </w:rPr>
        <w:t>МосСанПиН</w:t>
      </w:r>
      <w:proofErr w:type="spellEnd"/>
      <w:r w:rsidRPr="00B274E7">
        <w:rPr>
          <w:rFonts w:ascii="Arial Narrow" w:eastAsia="Times New Roman" w:hAnsi="Arial Narrow" w:cs="Arial"/>
          <w:lang w:eastAsia="ru-RU"/>
        </w:rPr>
        <w:t xml:space="preserve"> 2.1.4.002-99 "Применение охранно-защитных дератизационных систем".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Правила устройства электроустановок (ПУЭ).</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Дополнение N 1 к МГСН 1.01-98 "Нормы и правила проектирования коттеджной застройки".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Дополнение N 1 к МГСН 3.01-96 "Реконструкция и модернизация 5-этажных жилых домов".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Изменение N 1 к МГСН 4.04-94 Многофункциональные здания и комплексы".</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Изменение N 1 к МГСН 4.13-97 "Предприятия розничной торговли".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Изменение N 2 к МГСН 5.01-94 "Стоянки легковых автомобилей".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3.01-96 "Жилые здания".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4.01-94 "Хосписы".</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4.02-94 "Дома интернаты для детей-инвалидов".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4.03-94 "Дома интернаты для инвалидов и престарелых".</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4.04-94 "Многофункциональные здания и комплексы".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4.05-95 "Школы-интернаты для детей-инвалидов".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4.06-96 "Общеобразовательные учреждения".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4.07-96 "Дошкольные учреждения".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4.08-97 "Массовые типы физкультурно-оздоровительных учреждений".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4.09-97 "Здания органов социальной защиты населения".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4.10-97 "Здания банковских учреждений".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4.11-97 "Здания, сооружения и комплексы похоронного назначения".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4.12-97 "Лечебно-профилактические учреждения".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4.13-97 "Предприятия розничной торговли".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4.14-98 "Предприятия общественного питания".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4.15-98 "Общеобразовательные учреждения для детей-сирот и детей, оставшихся без попечения родителей".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4.16-98 "Гостиницы".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МГСН 4.17-98 "Культурно-зрелищные учреждения".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lastRenderedPageBreak/>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4.18-99 "Предприятия бытового обслуживания населения".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МГСН 5.01-94 "Стоянки легковых автомобилей".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7</w:t>
      </w:r>
      <w:r w:rsidR="00096B8C">
        <w:rPr>
          <w:rFonts w:ascii="Arial Narrow" w:eastAsia="Times New Roman" w:hAnsi="Arial Narrow" w:cs="Arial"/>
          <w:lang w:eastAsia="ru-RU"/>
        </w:rPr>
        <w:t>*</w:t>
      </w:r>
    </w:p>
    <w:p w:rsidR="00096B8C" w:rsidRDefault="00096B8C" w:rsidP="00B274E7">
      <w:pPr>
        <w:overflowPunct w:val="0"/>
        <w:spacing w:after="0" w:line="360" w:lineRule="auto"/>
        <w:ind w:firstLine="336"/>
        <w:jc w:val="right"/>
        <w:rPr>
          <w:rFonts w:ascii="Arial Narrow" w:eastAsia="Times New Roman" w:hAnsi="Arial Narrow" w:cs="Arial"/>
          <w:lang w:eastAsia="ru-RU"/>
        </w:rPr>
      </w:pPr>
      <w:r>
        <w:rPr>
          <w:rFonts w:ascii="Arial Narrow" w:eastAsia="Times New Roman" w:hAnsi="Arial Narrow" w:cs="Arial"/>
          <w:lang w:eastAsia="ru-RU"/>
        </w:rPr>
        <w:t>*приложение утратило силу</w:t>
      </w:r>
    </w:p>
    <w:p w:rsidR="00096B8C" w:rsidRPr="00B274E7" w:rsidRDefault="00096B8C" w:rsidP="00B274E7">
      <w:pPr>
        <w:overflowPunct w:val="0"/>
        <w:spacing w:after="0" w:line="360" w:lineRule="auto"/>
        <w:ind w:firstLine="336"/>
        <w:jc w:val="right"/>
        <w:rPr>
          <w:rFonts w:ascii="Arial Narrow" w:eastAsia="Times New Roman" w:hAnsi="Arial Narrow" w:cs="Arial"/>
          <w:lang w:eastAsia="ru-RU"/>
        </w:rPr>
      </w:pPr>
      <w:bookmarkStart w:id="0" w:name="_GoBack"/>
      <w:bookmarkEnd w:id="0"/>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(справочное)</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ПЕРЕЧЕНЬ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устройств, разрешенных к применению в охранно-защитных</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дератизационных системах на вновь строящихся, реконструируемых 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существующих объектах </w:t>
      </w:r>
      <w:proofErr w:type="spellStart"/>
      <w:r w:rsidRPr="00B274E7">
        <w:rPr>
          <w:rFonts w:ascii="Arial Narrow" w:eastAsia="Times New Roman" w:hAnsi="Arial Narrow" w:cs="Arial"/>
          <w:lang w:eastAsia="ru-RU"/>
        </w:rPr>
        <w:t>г.Москвы</w:t>
      </w:r>
      <w:proofErr w:type="spellEnd"/>
      <w:r w:rsidRPr="00B274E7">
        <w:rPr>
          <w:rFonts w:ascii="Arial Narrow" w:eastAsia="Times New Roman" w:hAnsi="Arial Narrow" w:cs="Arial"/>
          <w:lang w:eastAsia="ru-RU"/>
        </w:rPr>
        <w:t xml:space="preserve"> на 1999-2000 </w:t>
      </w:r>
      <w:proofErr w:type="spellStart"/>
      <w:r w:rsidRPr="00B274E7">
        <w:rPr>
          <w:rFonts w:ascii="Arial Narrow" w:eastAsia="Times New Roman" w:hAnsi="Arial Narrow" w:cs="Arial"/>
          <w:lang w:eastAsia="ru-RU"/>
        </w:rPr>
        <w:t>г.г</w:t>
      </w:r>
      <w:proofErr w:type="spellEnd"/>
      <w:r w:rsidRPr="00B274E7">
        <w:rPr>
          <w:rFonts w:ascii="Arial Narrow" w:eastAsia="Times New Roman" w:hAnsi="Arial Narrow" w:cs="Arial"/>
          <w:lang w:eastAsia="ru-RU"/>
        </w:rPr>
        <w:t>. по состоянию на</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31.03.2000 г. (подлежит </w:t>
      </w:r>
      <w:proofErr w:type="spellStart"/>
      <w:r w:rsidR="003A408A" w:rsidRPr="00B274E7">
        <w:rPr>
          <w:rFonts w:ascii="Arial Narrow" w:eastAsia="Times New Roman" w:hAnsi="Arial Narrow" w:cs="Arial"/>
          <w:lang w:val="en-US" w:eastAsia="ru-RU"/>
        </w:rPr>
        <w:t>ежегодному</w:t>
      </w:r>
      <w:proofErr w:type="spellEnd"/>
      <w:r w:rsidRPr="00B274E7">
        <w:rPr>
          <w:rFonts w:ascii="Arial Narrow" w:eastAsia="Times New Roman" w:hAnsi="Arial Narrow" w:cs="Arial"/>
          <w:lang w:eastAsia="ru-RU"/>
        </w:rPr>
        <w:t xml:space="preserve"> уточнению)</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bl>
      <w:tblPr>
        <w:tblW w:w="8364" w:type="dxa"/>
        <w:tblInd w:w="45" w:type="dxa"/>
        <w:tblCellMar>
          <w:left w:w="0" w:type="dxa"/>
          <w:right w:w="0" w:type="dxa"/>
        </w:tblCellMar>
        <w:tblLook w:val="04A0" w:firstRow="1" w:lastRow="0" w:firstColumn="1" w:lastColumn="0" w:noHBand="0" w:noVBand="1"/>
      </w:tblPr>
      <w:tblGrid>
        <w:gridCol w:w="840"/>
        <w:gridCol w:w="4440"/>
        <w:gridCol w:w="3084"/>
      </w:tblGrid>
      <w:tr w:rsidR="00B274E7" w:rsidRPr="00B274E7" w:rsidTr="002D1C76">
        <w:tc>
          <w:tcPr>
            <w:tcW w:w="8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N п/п </w:t>
            </w:r>
          </w:p>
        </w:tc>
        <w:tc>
          <w:tcPr>
            <w:tcW w:w="4440"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Наименование, тип аппаратуры</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tc>
        <w:tc>
          <w:tcPr>
            <w:tcW w:w="3084"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Технические условия </w:t>
            </w:r>
          </w:p>
        </w:tc>
      </w:tr>
      <w:tr w:rsidR="00B274E7" w:rsidRPr="00B274E7" w:rsidTr="002D1C76">
        <w:tc>
          <w:tcPr>
            <w:tcW w:w="8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1.</w:t>
            </w:r>
          </w:p>
        </w:tc>
        <w:tc>
          <w:tcPr>
            <w:tcW w:w="44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Электрический дератизатор ИССАН-ОХРА-Д-333</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308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ТУ 7399.001.18223723.98 </w:t>
            </w:r>
          </w:p>
        </w:tc>
      </w:tr>
      <w:tr w:rsidR="00B274E7" w:rsidRPr="00B274E7" w:rsidTr="002D1C76">
        <w:tc>
          <w:tcPr>
            <w:tcW w:w="8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2.</w:t>
            </w:r>
          </w:p>
        </w:tc>
        <w:tc>
          <w:tcPr>
            <w:tcW w:w="44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Блок высоковольтного усилителя БВУ.000</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308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ТУ 37.464.040.00 </w:t>
            </w:r>
          </w:p>
        </w:tc>
      </w:tr>
      <w:tr w:rsidR="00B274E7" w:rsidRPr="00B274E7" w:rsidTr="002D1C76">
        <w:tc>
          <w:tcPr>
            <w:tcW w:w="8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3.</w:t>
            </w:r>
          </w:p>
        </w:tc>
        <w:tc>
          <w:tcPr>
            <w:tcW w:w="4440"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proofErr w:type="gramStart"/>
            <w:r w:rsidRPr="00B274E7">
              <w:rPr>
                <w:rFonts w:ascii="Arial Narrow" w:eastAsia="Times New Roman" w:hAnsi="Arial Narrow" w:cs="Arial"/>
                <w:lang w:eastAsia="ru-RU"/>
              </w:rPr>
              <w:t>Барьер</w:t>
            </w:r>
            <w:proofErr w:type="gramEnd"/>
            <w:r w:rsidRPr="00B274E7">
              <w:rPr>
                <w:rFonts w:ascii="Arial Narrow" w:eastAsia="Times New Roman" w:hAnsi="Arial Narrow" w:cs="Arial"/>
                <w:lang w:eastAsia="ru-RU"/>
              </w:rPr>
              <w:t xml:space="preserve"> электризуемый БЭП.000</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3084" w:type="dxa"/>
            <w:tcBorders>
              <w:top w:val="nil"/>
              <w:left w:val="nil"/>
              <w:bottom w:val="single" w:sz="8" w:space="0" w:color="auto"/>
              <w:right w:val="single" w:sz="8" w:space="0" w:color="auto"/>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ТУ 16 К 76-165-2000 </w:t>
            </w:r>
          </w:p>
        </w:tc>
      </w:tr>
    </w:tbl>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Главный государственный санитарный врач по </w:t>
      </w:r>
      <w:proofErr w:type="spellStart"/>
      <w:r w:rsidRPr="00B274E7">
        <w:rPr>
          <w:rFonts w:ascii="Arial Narrow" w:eastAsia="Times New Roman" w:hAnsi="Arial Narrow" w:cs="Arial"/>
          <w:lang w:eastAsia="ru-RU"/>
        </w:rPr>
        <w:t>г.Москве</w:t>
      </w:r>
      <w:proofErr w:type="spellEnd"/>
      <w:r w:rsidRPr="00B274E7">
        <w:rPr>
          <w:rFonts w:ascii="Arial Narrow" w:eastAsia="Times New Roman" w:hAnsi="Arial Narrow" w:cs="Arial"/>
          <w:lang w:eastAsia="ru-RU"/>
        </w:rPr>
        <w:t xml:space="preserve">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Филатов Н.Н.</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8</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xml:space="preserve">(справочное)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b/>
          <w:bCs/>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b/>
          <w:bCs/>
          <w:lang w:eastAsia="ru-RU"/>
        </w:rPr>
        <w:t>Общие сведения об электрической дератизации</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b/>
          <w:bCs/>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Электрическая дератизация заключается в активном препятствии попыткам грызунов проникнуть на защищаемые объекты путем воздействия на них высоковольтным импульсным током, который возникает при приближении грызунов на расстояние менее 20 мм к электризуемому барьеру, устанавливаемому на путях перемещений (проникновений) грызунов к местам кормления и гнездования.</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Барьер электризуемый (БЭ) представляет собой протяженный специальный профиль из диэлектрического материала со встроенным линейным токопроводящим электродом.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Амплитудно-временные характеристики электрического дугового пробоя воздушного промежутка "БЭ - грызун" выбраны таким образом, что, не приводя к летальному для грызуна исходу, вызывает у него устойчивую негативную рефлекторно-поведенческую реакцию отказа от дальнейших попыток преодоления барьера и вынуждает его покинуть защищаемый объект.</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Электропитание БЭ осуществляется от блока преобразователя импульсного (БПИ), размещаемого, как правило, в </w:t>
      </w:r>
      <w:proofErr w:type="spellStart"/>
      <w:r w:rsidRPr="00B274E7">
        <w:rPr>
          <w:rFonts w:ascii="Arial Narrow" w:eastAsia="Times New Roman" w:hAnsi="Arial Narrow" w:cs="Arial"/>
          <w:lang w:eastAsia="ru-RU"/>
        </w:rPr>
        <w:t>электрощитовых</w:t>
      </w:r>
      <w:proofErr w:type="spellEnd"/>
      <w:r w:rsidRPr="00B274E7">
        <w:rPr>
          <w:rFonts w:ascii="Arial Narrow" w:eastAsia="Times New Roman" w:hAnsi="Arial Narrow" w:cs="Arial"/>
          <w:lang w:eastAsia="ru-RU"/>
        </w:rPr>
        <w:t>, через блок высоковольтного усилителя (БВУ) расположенный вблизи от БЭ.</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Применение ОЗДС безопасно для человека и домашних животных.</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ОЗДС при соблюдении действующих норм по ее монтажу не оказывает влияния на работу инженерных и телекоммуникационных систем.</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Если на объекте уже есть грызуны, то ОЗДС активно препятствует их обычной жизнедеятельности и заставляет покинуть места обитания или же существенно снижает их численность.</w:t>
      </w:r>
    </w:p>
    <w:p w:rsidR="002D1C76" w:rsidRPr="00B274E7" w:rsidRDefault="003A408A"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БЛОК-СХЕМА ОЗДС</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(пример)</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7445F7"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noProof/>
          <w:lang w:eastAsia="ru-RU"/>
        </w:rPr>
        <w:lastRenderedPageBreak/>
        <w:drawing>
          <wp:inline distT="0" distB="0" distL="0" distR="0">
            <wp:extent cx="5124450" cy="4486275"/>
            <wp:effectExtent l="0" t="0" r="0" b="9525"/>
            <wp:docPr id="2" name="Рисунок 2" descr="http://www.stroyoffis.ru/rm_rukovodysie/rm_2776/image002.gif">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troyoffis.ru/rm_rukovodysie/rm_2776/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4486275"/>
                    </a:xfrm>
                    <a:prstGeom prst="rect">
                      <a:avLst/>
                    </a:prstGeom>
                    <a:noFill/>
                    <a:ln>
                      <a:noFill/>
                    </a:ln>
                  </pic:spPr>
                </pic:pic>
              </a:graphicData>
            </a:graphic>
          </wp:inline>
        </w:drawing>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Приложение 9</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(справочное)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ПЕРЕЧЕНЬ</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наиболее характерных мест размещения барьеров электризуемых</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мусоросборники;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коммуникационные коллекторы;</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кабельные каналы и лотки;</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воздухозаборники и вентиляционные камеры;</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технологические проемы подвальных и производственных помещений;</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 пространство под фальшполами, над </w:t>
      </w:r>
      <w:proofErr w:type="spellStart"/>
      <w:r w:rsidRPr="00B274E7">
        <w:rPr>
          <w:rFonts w:ascii="Arial Narrow" w:eastAsia="Times New Roman" w:hAnsi="Arial Narrow" w:cs="Arial"/>
          <w:lang w:eastAsia="ru-RU"/>
        </w:rPr>
        <w:t>фальшпотолками</w:t>
      </w:r>
      <w:proofErr w:type="spellEnd"/>
      <w:r w:rsidRPr="00B274E7">
        <w:rPr>
          <w:rFonts w:ascii="Arial Narrow" w:eastAsia="Times New Roman" w:hAnsi="Arial Narrow" w:cs="Arial"/>
          <w:lang w:eastAsia="ru-RU"/>
        </w:rPr>
        <w:t xml:space="preserve"> и за </w:t>
      </w:r>
      <w:proofErr w:type="spellStart"/>
      <w:r w:rsidRPr="00B274E7">
        <w:rPr>
          <w:rFonts w:ascii="Arial Narrow" w:eastAsia="Times New Roman" w:hAnsi="Arial Narrow" w:cs="Arial"/>
          <w:lang w:eastAsia="ru-RU"/>
        </w:rPr>
        <w:t>фальшпанелями</w:t>
      </w:r>
      <w:proofErr w:type="spellEnd"/>
      <w:r w:rsidRPr="00B274E7">
        <w:rPr>
          <w:rFonts w:ascii="Arial Narrow" w:eastAsia="Times New Roman" w:hAnsi="Arial Narrow" w:cs="Arial"/>
          <w:lang w:eastAsia="ru-RU"/>
        </w:rPr>
        <w:t>;</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опорные конструкции стеллажей, ларей, поддонов и т.п. для хранения продуктов.</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spacing w:after="0" w:line="360" w:lineRule="auto"/>
        <w:rPr>
          <w:rFonts w:ascii="Arial Narrow" w:eastAsia="Times New Roman" w:hAnsi="Arial Narrow" w:cs="Arial"/>
          <w:lang w:eastAsia="ru-RU"/>
        </w:rPr>
      </w:pPr>
    </w:p>
    <w:p w:rsidR="002D1C76" w:rsidRPr="00B274E7" w:rsidRDefault="003A408A"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br w:type="page"/>
      </w:r>
      <w:r w:rsidR="002D1C76" w:rsidRPr="00B274E7">
        <w:rPr>
          <w:rFonts w:ascii="Arial Narrow" w:eastAsia="Times New Roman" w:hAnsi="Arial Narrow" w:cs="Arial"/>
          <w:lang w:eastAsia="ru-RU"/>
        </w:rPr>
        <w:lastRenderedPageBreak/>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Приложение 13</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(справочное)</w:t>
      </w:r>
    </w:p>
    <w:p w:rsidR="002D1C76" w:rsidRPr="00B274E7" w:rsidRDefault="002D1C76" w:rsidP="00B274E7">
      <w:pPr>
        <w:overflowPunct w:val="0"/>
        <w:spacing w:after="0" w:line="360" w:lineRule="auto"/>
        <w:ind w:firstLine="336"/>
        <w:jc w:val="right"/>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МИНИСТЕРСТВО ЗДРАВООХРАНЕНИЯ РОССИЙСКОЙ ФЕДЕРАЦИИ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ЦЕНТР ГОСУДАРСТВЕННОГО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САНИТАРНО-ЭПИДЕМИОЛОГИЧЕСКОГО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НАДЗОРА в </w:t>
      </w:r>
      <w:proofErr w:type="spellStart"/>
      <w:r w:rsidRPr="00B274E7">
        <w:rPr>
          <w:rFonts w:ascii="Arial Narrow" w:eastAsia="Times New Roman" w:hAnsi="Arial Narrow" w:cs="Arial"/>
          <w:lang w:eastAsia="ru-RU"/>
        </w:rPr>
        <w:t>г.МОСКВЕ</w:t>
      </w:r>
      <w:proofErr w:type="spellEnd"/>
      <w:r w:rsidRPr="00B274E7">
        <w:rPr>
          <w:rFonts w:ascii="Arial Narrow" w:eastAsia="Times New Roman" w:hAnsi="Arial Narrow" w:cs="Arial"/>
          <w:lang w:eastAsia="ru-RU"/>
        </w:rPr>
        <w:t xml:space="preserve">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РОССИЯ, 129626 МОСКВА, ГРАФСКИЙ ПЕРЕУЛОК, 4/9. ТЕЛ.: (095) 287 3141. ФАКС: (095) 287 0620, Е-</w:t>
      </w:r>
      <w:proofErr w:type="spellStart"/>
      <w:r w:rsidRPr="00B274E7">
        <w:rPr>
          <w:rFonts w:ascii="Arial Narrow" w:eastAsia="Times New Roman" w:hAnsi="Arial Narrow" w:cs="Arial"/>
          <w:lang w:eastAsia="ru-RU"/>
        </w:rPr>
        <w:t>mail</w:t>
      </w:r>
      <w:proofErr w:type="spellEnd"/>
      <w:r w:rsidRPr="00B274E7">
        <w:rPr>
          <w:rFonts w:ascii="Arial Narrow" w:eastAsia="Times New Roman" w:hAnsi="Arial Narrow" w:cs="Arial"/>
          <w:lang w:eastAsia="ru-RU"/>
        </w:rPr>
        <w:t>: mgcses@аsvt.ru</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Вх.142</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0" w:type="auto"/>
        <w:tblInd w:w="45" w:type="dxa"/>
        <w:tblCellMar>
          <w:left w:w="0" w:type="dxa"/>
          <w:right w:w="0" w:type="dxa"/>
        </w:tblCellMar>
        <w:tblLook w:val="04A0" w:firstRow="1" w:lastRow="0" w:firstColumn="1" w:lastColumn="0" w:noHBand="0" w:noVBand="1"/>
      </w:tblPr>
      <w:tblGrid>
        <w:gridCol w:w="3585"/>
        <w:gridCol w:w="4335"/>
      </w:tblGrid>
      <w:tr w:rsidR="00B274E7" w:rsidRPr="00B274E7" w:rsidTr="002D1C76">
        <w:tc>
          <w:tcPr>
            <w:tcW w:w="358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20.04.2000 N 10-12/677</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c>
          <w:tcPr>
            <w:tcW w:w="433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Первому заместителю Председателя Москомархитектуры </w:t>
            </w:r>
            <w:proofErr w:type="spellStart"/>
            <w:r w:rsidRPr="00B274E7">
              <w:rPr>
                <w:rFonts w:ascii="Arial Narrow" w:eastAsia="Times New Roman" w:hAnsi="Arial Narrow" w:cs="Arial"/>
                <w:lang w:eastAsia="ru-RU"/>
              </w:rPr>
              <w:t>Гольдфайну</w:t>
            </w:r>
            <w:proofErr w:type="spellEnd"/>
            <w:r w:rsidRPr="00B274E7">
              <w:rPr>
                <w:rFonts w:ascii="Arial Narrow" w:eastAsia="Times New Roman" w:hAnsi="Arial Narrow" w:cs="Arial"/>
                <w:lang w:eastAsia="ru-RU"/>
              </w:rPr>
              <w:t xml:space="preserve"> Ю.В.</w:t>
            </w:r>
          </w:p>
        </w:tc>
      </w:tr>
      <w:tr w:rsidR="00B274E7" w:rsidRPr="00B274E7" w:rsidTr="002D1C76">
        <w:tc>
          <w:tcPr>
            <w:tcW w:w="358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На N 01-11/21-1389 от 07.04.2000 г.</w:t>
            </w:r>
          </w:p>
        </w:tc>
        <w:tc>
          <w:tcPr>
            <w:tcW w:w="433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c>
      </w:tr>
    </w:tbl>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Центр госсанэпиднадзора в </w:t>
      </w:r>
      <w:proofErr w:type="spellStart"/>
      <w:r w:rsidRPr="00B274E7">
        <w:rPr>
          <w:rFonts w:ascii="Arial Narrow" w:eastAsia="Times New Roman" w:hAnsi="Arial Narrow" w:cs="Arial"/>
          <w:lang w:eastAsia="ru-RU"/>
        </w:rPr>
        <w:t>г.Москве</w:t>
      </w:r>
      <w:proofErr w:type="spellEnd"/>
      <w:r w:rsidRPr="00B274E7">
        <w:rPr>
          <w:rFonts w:ascii="Arial Narrow" w:eastAsia="Times New Roman" w:hAnsi="Arial Narrow" w:cs="Arial"/>
          <w:lang w:eastAsia="ru-RU"/>
        </w:rPr>
        <w:t xml:space="preserve"> рассмотрел проект "Инструкции по проектированию, монтажу и приемке в эксплуатацию охранно-защитных дератизационных систем (ОЗДС)" и согласовывает его.</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В то же время считаем необходимым дополнить раздел 3 пунктом 3.7. следующего содержания "Акт окончания работ по монтажу ОЗДС (приложение 3) передается в папку Государственной комиссии по приемке законченного строительством объекта и является его составной частью".</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w:t>
      </w:r>
    </w:p>
    <w:tbl>
      <w:tblPr>
        <w:tblW w:w="0" w:type="auto"/>
        <w:tblInd w:w="45" w:type="dxa"/>
        <w:tblCellMar>
          <w:left w:w="0" w:type="dxa"/>
          <w:right w:w="0" w:type="dxa"/>
        </w:tblCellMar>
        <w:tblLook w:val="04A0" w:firstRow="1" w:lastRow="0" w:firstColumn="1" w:lastColumn="0" w:noHBand="0" w:noVBand="1"/>
      </w:tblPr>
      <w:tblGrid>
        <w:gridCol w:w="3405"/>
        <w:gridCol w:w="855"/>
        <w:gridCol w:w="2970"/>
      </w:tblGrid>
      <w:tr w:rsidR="00B274E7" w:rsidRPr="00B274E7" w:rsidTr="002D1C76">
        <w:tc>
          <w:tcPr>
            <w:tcW w:w="340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Главный государственный </w:t>
            </w:r>
          </w:p>
          <w:p w:rsidR="002D1C76" w:rsidRPr="00B274E7" w:rsidRDefault="002D1C76" w:rsidP="00B274E7">
            <w:pPr>
              <w:overflowPunct w:val="0"/>
              <w:spacing w:after="0" w:line="360" w:lineRule="auto"/>
              <w:ind w:firstLine="336"/>
              <w:rPr>
                <w:rFonts w:ascii="Arial Narrow" w:eastAsia="Times New Roman" w:hAnsi="Arial Narrow" w:cs="Arial"/>
                <w:lang w:eastAsia="ru-RU"/>
              </w:rPr>
            </w:pPr>
            <w:r w:rsidRPr="00B274E7">
              <w:rPr>
                <w:rFonts w:ascii="Arial Narrow" w:eastAsia="Times New Roman" w:hAnsi="Arial Narrow" w:cs="Arial"/>
                <w:lang w:eastAsia="ru-RU"/>
              </w:rPr>
              <w:t xml:space="preserve">санитарный врач по г.Москве </w:t>
            </w:r>
          </w:p>
        </w:tc>
        <w:tc>
          <w:tcPr>
            <w:tcW w:w="855"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xml:space="preserve">Печать </w:t>
            </w:r>
          </w:p>
        </w:tc>
        <w:tc>
          <w:tcPr>
            <w:tcW w:w="2970" w:type="dxa"/>
            <w:tcBorders>
              <w:top w:val="nil"/>
              <w:left w:val="nil"/>
              <w:bottom w:val="nil"/>
              <w:right w:val="nil"/>
            </w:tcBorders>
            <w:tcMar>
              <w:top w:w="0" w:type="dxa"/>
              <w:left w:w="45" w:type="dxa"/>
              <w:bottom w:w="0" w:type="dxa"/>
              <w:right w:w="45" w:type="dxa"/>
            </w:tcMar>
            <w:hideMark/>
          </w:tcPr>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 </w:t>
            </w:r>
          </w:p>
          <w:p w:rsidR="002D1C76" w:rsidRPr="00B274E7" w:rsidRDefault="002D1C76" w:rsidP="00B274E7">
            <w:pPr>
              <w:overflowPunct w:val="0"/>
              <w:spacing w:after="0" w:line="360" w:lineRule="auto"/>
              <w:jc w:val="center"/>
              <w:rPr>
                <w:rFonts w:ascii="Arial Narrow" w:eastAsia="Times New Roman" w:hAnsi="Arial Narrow" w:cs="Arial"/>
                <w:lang w:eastAsia="ru-RU"/>
              </w:rPr>
            </w:pPr>
            <w:r w:rsidRPr="00B274E7">
              <w:rPr>
                <w:rFonts w:ascii="Arial Narrow" w:eastAsia="Times New Roman" w:hAnsi="Arial Narrow" w:cs="Arial"/>
                <w:lang w:eastAsia="ru-RU"/>
              </w:rPr>
              <w:t>Филатов Н.Н.</w:t>
            </w:r>
          </w:p>
        </w:tc>
      </w:tr>
    </w:tbl>
    <w:p w:rsidR="003766E2" w:rsidRPr="00B274E7" w:rsidRDefault="003766E2" w:rsidP="00B274E7">
      <w:pPr>
        <w:spacing w:line="360" w:lineRule="auto"/>
        <w:rPr>
          <w:rFonts w:ascii="Arial Narrow" w:hAnsi="Arial Narrow"/>
        </w:rPr>
      </w:pPr>
    </w:p>
    <w:sectPr w:rsidR="003766E2" w:rsidRPr="00B274E7" w:rsidSect="0037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76"/>
    <w:rsid w:val="00096B8C"/>
    <w:rsid w:val="002C2757"/>
    <w:rsid w:val="002D1C76"/>
    <w:rsid w:val="003766E2"/>
    <w:rsid w:val="003A408A"/>
    <w:rsid w:val="004979C8"/>
    <w:rsid w:val="007445F7"/>
    <w:rsid w:val="00A21200"/>
    <w:rsid w:val="00B274E7"/>
    <w:rsid w:val="00D7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B1C7-ED25-41D0-851E-87F3D517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E2"/>
    <w:pPr>
      <w:spacing w:after="200" w:line="276" w:lineRule="auto"/>
    </w:pPr>
    <w:rPr>
      <w:sz w:val="22"/>
      <w:szCs w:val="22"/>
      <w:lang w:eastAsia="en-US"/>
    </w:rPr>
  </w:style>
  <w:style w:type="paragraph" w:styleId="1">
    <w:name w:val="heading 1"/>
    <w:basedOn w:val="a"/>
    <w:link w:val="10"/>
    <w:uiPriority w:val="9"/>
    <w:qFormat/>
    <w:rsid w:val="002D1C76"/>
    <w:pPr>
      <w:spacing w:after="0" w:line="240" w:lineRule="auto"/>
      <w:outlineLvl w:val="0"/>
    </w:pPr>
    <w:rPr>
      <w:rFonts w:ascii="Times New Roman" w:eastAsia="Times New Roman" w:hAnsi="Times New Roman"/>
      <w:b/>
      <w:bCs/>
      <w:kern w:val="36"/>
      <w:sz w:val="31"/>
      <w:szCs w:val="31"/>
      <w:lang w:eastAsia="ru-RU"/>
    </w:rPr>
  </w:style>
  <w:style w:type="paragraph" w:styleId="2">
    <w:name w:val="heading 2"/>
    <w:basedOn w:val="a"/>
    <w:link w:val="20"/>
    <w:uiPriority w:val="9"/>
    <w:qFormat/>
    <w:rsid w:val="002D1C76"/>
    <w:pPr>
      <w:spacing w:after="0" w:line="240" w:lineRule="auto"/>
      <w:outlineLvl w:val="1"/>
    </w:pPr>
    <w:rPr>
      <w:rFonts w:ascii="Times New Roman" w:eastAsia="Times New Roman" w:hAnsi="Times New Roman"/>
      <w:b/>
      <w:bCs/>
      <w:sz w:val="31"/>
      <w:szCs w:val="31"/>
      <w:lang w:eastAsia="ru-RU"/>
    </w:rPr>
  </w:style>
  <w:style w:type="paragraph" w:styleId="3">
    <w:name w:val="heading 3"/>
    <w:basedOn w:val="a"/>
    <w:link w:val="30"/>
    <w:uiPriority w:val="9"/>
    <w:qFormat/>
    <w:rsid w:val="002D1C76"/>
    <w:pPr>
      <w:spacing w:after="0" w:line="240" w:lineRule="auto"/>
      <w:outlineLvl w:val="2"/>
    </w:pPr>
    <w:rPr>
      <w:rFonts w:ascii="Times New Roman" w:eastAsia="Times New Roman" w:hAnsi="Times New Roman"/>
      <w:b/>
      <w:bCs/>
      <w:sz w:val="26"/>
      <w:szCs w:val="26"/>
      <w:lang w:eastAsia="ru-RU"/>
    </w:rPr>
  </w:style>
  <w:style w:type="paragraph" w:styleId="4">
    <w:name w:val="heading 4"/>
    <w:basedOn w:val="a"/>
    <w:link w:val="40"/>
    <w:uiPriority w:val="9"/>
    <w:qFormat/>
    <w:rsid w:val="002D1C76"/>
    <w:pPr>
      <w:spacing w:after="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2D1C76"/>
    <w:pPr>
      <w:spacing w:after="0" w:line="240" w:lineRule="auto"/>
      <w:outlineLvl w:val="4"/>
    </w:pPr>
    <w:rPr>
      <w:rFonts w:ascii="Times New Roman" w:eastAsia="Times New Roman" w:hAnsi="Times New Roman"/>
      <w:b/>
      <w:bCs/>
      <w:sz w:val="24"/>
      <w:szCs w:val="24"/>
      <w:lang w:eastAsia="ru-RU"/>
    </w:rPr>
  </w:style>
  <w:style w:type="paragraph" w:styleId="6">
    <w:name w:val="heading 6"/>
    <w:basedOn w:val="a"/>
    <w:link w:val="60"/>
    <w:uiPriority w:val="9"/>
    <w:qFormat/>
    <w:rsid w:val="002D1C76"/>
    <w:pPr>
      <w:spacing w:after="0"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1C76"/>
    <w:rPr>
      <w:rFonts w:ascii="Times New Roman" w:eastAsia="Times New Roman" w:hAnsi="Times New Roman" w:cs="Times New Roman"/>
      <w:b/>
      <w:bCs/>
      <w:kern w:val="36"/>
      <w:sz w:val="31"/>
      <w:szCs w:val="31"/>
      <w:lang w:eastAsia="ru-RU"/>
    </w:rPr>
  </w:style>
  <w:style w:type="character" w:customStyle="1" w:styleId="20">
    <w:name w:val="Заголовок 2 Знак"/>
    <w:link w:val="2"/>
    <w:uiPriority w:val="9"/>
    <w:rsid w:val="002D1C76"/>
    <w:rPr>
      <w:rFonts w:ascii="Times New Roman" w:eastAsia="Times New Roman" w:hAnsi="Times New Roman" w:cs="Times New Roman"/>
      <w:b/>
      <w:bCs/>
      <w:sz w:val="31"/>
      <w:szCs w:val="31"/>
      <w:lang w:eastAsia="ru-RU"/>
    </w:rPr>
  </w:style>
  <w:style w:type="character" w:customStyle="1" w:styleId="30">
    <w:name w:val="Заголовок 3 Знак"/>
    <w:link w:val="3"/>
    <w:uiPriority w:val="9"/>
    <w:rsid w:val="002D1C76"/>
    <w:rPr>
      <w:rFonts w:ascii="Times New Roman" w:eastAsia="Times New Roman" w:hAnsi="Times New Roman" w:cs="Times New Roman"/>
      <w:b/>
      <w:bCs/>
      <w:sz w:val="26"/>
      <w:szCs w:val="26"/>
      <w:lang w:eastAsia="ru-RU"/>
    </w:rPr>
  </w:style>
  <w:style w:type="character" w:customStyle="1" w:styleId="40">
    <w:name w:val="Заголовок 4 Знак"/>
    <w:link w:val="4"/>
    <w:uiPriority w:val="9"/>
    <w:rsid w:val="002D1C76"/>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2D1C76"/>
    <w:rPr>
      <w:rFonts w:ascii="Times New Roman" w:eastAsia="Times New Roman" w:hAnsi="Times New Roman" w:cs="Times New Roman"/>
      <w:b/>
      <w:bCs/>
      <w:sz w:val="24"/>
      <w:szCs w:val="24"/>
      <w:lang w:eastAsia="ru-RU"/>
    </w:rPr>
  </w:style>
  <w:style w:type="character" w:customStyle="1" w:styleId="60">
    <w:name w:val="Заголовок 6 Знак"/>
    <w:link w:val="6"/>
    <w:uiPriority w:val="9"/>
    <w:rsid w:val="002D1C76"/>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2D1C7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D1C76"/>
    <w:rPr>
      <w:rFonts w:ascii="Tahoma" w:hAnsi="Tahoma" w:cs="Tahoma"/>
      <w:sz w:val="16"/>
      <w:szCs w:val="16"/>
    </w:rPr>
  </w:style>
  <w:style w:type="character" w:styleId="a5">
    <w:name w:val="Hyperlink"/>
    <w:uiPriority w:val="99"/>
    <w:unhideWhenUsed/>
    <w:rsid w:val="004979C8"/>
    <w:rPr>
      <w:color w:val="0563C1"/>
      <w:u w:val="single"/>
    </w:rPr>
  </w:style>
  <w:style w:type="paragraph" w:styleId="a6">
    <w:name w:val="List Paragraph"/>
    <w:basedOn w:val="a"/>
    <w:uiPriority w:val="34"/>
    <w:qFormat/>
    <w:rsid w:val="0009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3288">
      <w:bodyDiv w:val="1"/>
      <w:marLeft w:val="0"/>
      <w:marRight w:val="0"/>
      <w:marTop w:val="0"/>
      <w:marBottom w:val="0"/>
      <w:divBdr>
        <w:top w:val="none" w:sz="0" w:space="0" w:color="auto"/>
        <w:left w:val="none" w:sz="0" w:space="0" w:color="auto"/>
        <w:bottom w:val="none" w:sz="0" w:space="0" w:color="auto"/>
        <w:right w:val="none" w:sz="0" w:space="0" w:color="auto"/>
      </w:divBdr>
      <w:divsChild>
        <w:div w:id="562646412">
          <w:marLeft w:val="300"/>
          <w:marRight w:val="150"/>
          <w:marTop w:val="300"/>
          <w:marBottom w:val="0"/>
          <w:divBdr>
            <w:top w:val="none" w:sz="0" w:space="0" w:color="auto"/>
            <w:left w:val="none" w:sz="0" w:space="0" w:color="auto"/>
            <w:bottom w:val="none" w:sz="0" w:space="0" w:color="auto"/>
            <w:right w:val="none" w:sz="0" w:space="0" w:color="auto"/>
          </w:divBdr>
          <w:divsChild>
            <w:div w:id="484977416">
              <w:marLeft w:val="0"/>
              <w:marRight w:val="0"/>
              <w:marTop w:val="0"/>
              <w:marBottom w:val="0"/>
              <w:divBdr>
                <w:top w:val="none" w:sz="0" w:space="0" w:color="auto"/>
                <w:left w:val="none" w:sz="0" w:space="0" w:color="auto"/>
                <w:bottom w:val="none" w:sz="0" w:space="0" w:color="auto"/>
                <w:right w:val="none" w:sz="0" w:space="0" w:color="auto"/>
              </w:divBdr>
            </w:div>
            <w:div w:id="500780699">
              <w:marLeft w:val="0"/>
              <w:marRight w:val="0"/>
              <w:marTop w:val="0"/>
              <w:marBottom w:val="0"/>
              <w:divBdr>
                <w:top w:val="none" w:sz="0" w:space="0" w:color="auto"/>
                <w:left w:val="none" w:sz="0" w:space="0" w:color="auto"/>
                <w:bottom w:val="none" w:sz="0" w:space="0" w:color="auto"/>
                <w:right w:val="none" w:sz="0" w:space="0" w:color="auto"/>
              </w:divBdr>
            </w:div>
            <w:div w:id="1456175240">
              <w:marLeft w:val="0"/>
              <w:marRight w:val="0"/>
              <w:marTop w:val="0"/>
              <w:marBottom w:val="0"/>
              <w:divBdr>
                <w:top w:val="none" w:sz="0" w:space="0" w:color="auto"/>
                <w:left w:val="none" w:sz="0" w:space="0" w:color="auto"/>
                <w:bottom w:val="none" w:sz="0" w:space="0" w:color="auto"/>
                <w:right w:val="none" w:sz="0" w:space="0" w:color="auto"/>
              </w:divBdr>
            </w:div>
            <w:div w:id="1502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troyoffi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cgroup.ru/tehnicheskie_nakleyka_ozds.htm" TargetMode="External"/><Relationship Id="rId11" Type="http://schemas.openxmlformats.org/officeDocument/2006/relationships/theme" Target="theme/theme1.xml"/><Relationship Id="rId5" Type="http://schemas.openxmlformats.org/officeDocument/2006/relationships/hyperlink" Target="http://stroyoffis.ru" TargetMode="External"/><Relationship Id="rId10" Type="http://schemas.openxmlformats.org/officeDocument/2006/relationships/fontTable" Target="fontTable.xml"/><Relationship Id="rId4" Type="http://schemas.openxmlformats.org/officeDocument/2006/relationships/hyperlink" Target="http://&#1086;&#1079;&#1076;&#1091;.&#1088;&#1092;/"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TT</Company>
  <LinksUpToDate>false</LinksUpToDate>
  <CharactersWithSpaces>26196</CharactersWithSpaces>
  <SharedDoc>false</SharedDoc>
  <HLinks>
    <vt:vector size="30" baseType="variant">
      <vt:variant>
        <vt:i4>458819</vt:i4>
      </vt:variant>
      <vt:variant>
        <vt:i4>12</vt:i4>
      </vt:variant>
      <vt:variant>
        <vt:i4>0</vt:i4>
      </vt:variant>
      <vt:variant>
        <vt:i4>5</vt:i4>
      </vt:variant>
      <vt:variant>
        <vt:lpwstr>http://www.stroyoffis.ru/</vt:lpwstr>
      </vt:variant>
      <vt:variant>
        <vt:lpwstr/>
      </vt:variant>
      <vt:variant>
        <vt:i4>458819</vt:i4>
      </vt:variant>
      <vt:variant>
        <vt:i4>9</vt:i4>
      </vt:variant>
      <vt:variant>
        <vt:i4>0</vt:i4>
      </vt:variant>
      <vt:variant>
        <vt:i4>5</vt:i4>
      </vt:variant>
      <vt:variant>
        <vt:lpwstr>http://www.stroyoffis.ru/</vt:lpwstr>
      </vt:variant>
      <vt:variant>
        <vt:lpwstr/>
      </vt:variant>
      <vt:variant>
        <vt:i4>458778</vt:i4>
      </vt:variant>
      <vt:variant>
        <vt:i4>6</vt:i4>
      </vt:variant>
      <vt:variant>
        <vt:i4>0</vt:i4>
      </vt:variant>
      <vt:variant>
        <vt:i4>5</vt:i4>
      </vt:variant>
      <vt:variant>
        <vt:lpwstr>http://stroyoffis.ru/</vt:lpwstr>
      </vt:variant>
      <vt:variant>
        <vt:lpwstr/>
      </vt:variant>
      <vt:variant>
        <vt:i4>2621490</vt:i4>
      </vt:variant>
      <vt:variant>
        <vt:i4>3</vt:i4>
      </vt:variant>
      <vt:variant>
        <vt:i4>0</vt:i4>
      </vt:variant>
      <vt:variant>
        <vt:i4>5</vt:i4>
      </vt:variant>
      <vt:variant>
        <vt:lpwstr>http://www.cpinn.eu/wp-content/uploads/2776.rar</vt:lpwstr>
      </vt:variant>
      <vt:variant>
        <vt:lpwstr/>
      </vt:variant>
      <vt:variant>
        <vt:i4>2621490</vt:i4>
      </vt:variant>
      <vt:variant>
        <vt:i4>0</vt:i4>
      </vt:variant>
      <vt:variant>
        <vt:i4>0</vt:i4>
      </vt:variant>
      <vt:variant>
        <vt:i4>5</vt:i4>
      </vt:variant>
      <vt:variant>
        <vt:lpwstr>http://www.cpinn.eu/wp-content/uploads/2776.rar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Andrei</cp:lastModifiedBy>
  <cp:revision>4</cp:revision>
  <dcterms:created xsi:type="dcterms:W3CDTF">2017-06-09T20:32:00Z</dcterms:created>
  <dcterms:modified xsi:type="dcterms:W3CDTF">2017-06-09T20:53:00Z</dcterms:modified>
</cp:coreProperties>
</file>